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AC" w:rsidRPr="00F737D1" w:rsidRDefault="009B7FAC" w:rsidP="009B7FAC">
      <w:pPr>
        <w:ind w:left="5760"/>
        <w:jc w:val="center"/>
        <w:rPr>
          <w:b/>
        </w:rPr>
      </w:pPr>
      <w:r w:rsidRPr="00F737D1">
        <w:rPr>
          <w:b/>
        </w:rPr>
        <w:t>УТВЕРЖДАЮ</w:t>
      </w:r>
    </w:p>
    <w:p w:rsidR="009B7FAC" w:rsidRPr="00F737D1" w:rsidRDefault="009B7FAC" w:rsidP="009B7FAC">
      <w:pPr>
        <w:ind w:left="5760"/>
        <w:jc w:val="both"/>
        <w:rPr>
          <w:b/>
        </w:rPr>
      </w:pPr>
      <w:r w:rsidRPr="00F737D1">
        <w:rPr>
          <w:b/>
        </w:rPr>
        <w:t>председатель контрольно-счетной палаты Волгоградской области</w:t>
      </w:r>
      <w:r>
        <w:rPr>
          <w:b/>
        </w:rPr>
        <w:t xml:space="preserve"> ___</w:t>
      </w:r>
      <w:r w:rsidRPr="00F737D1">
        <w:rPr>
          <w:b/>
        </w:rPr>
        <w:t>______________</w:t>
      </w:r>
      <w:r>
        <w:rPr>
          <w:b/>
        </w:rPr>
        <w:t xml:space="preserve">  </w:t>
      </w:r>
      <w:r w:rsidRPr="00F737D1">
        <w:rPr>
          <w:b/>
        </w:rPr>
        <w:t>И. А. Дьяченко</w:t>
      </w:r>
    </w:p>
    <w:p w:rsidR="009B7FAC" w:rsidRPr="00F737D1" w:rsidRDefault="009B7FAC" w:rsidP="009B7FAC">
      <w:pPr>
        <w:ind w:left="5760"/>
        <w:rPr>
          <w:b/>
        </w:rPr>
      </w:pPr>
      <w:r>
        <w:rPr>
          <w:b/>
        </w:rPr>
        <w:t xml:space="preserve">«____» </w:t>
      </w:r>
      <w:r w:rsidR="001976BC">
        <w:rPr>
          <w:b/>
        </w:rPr>
        <w:t>апреля</w:t>
      </w:r>
      <w:r>
        <w:rPr>
          <w:b/>
        </w:rPr>
        <w:t xml:space="preserve"> 201</w:t>
      </w:r>
      <w:r w:rsidR="00465FE6">
        <w:rPr>
          <w:b/>
        </w:rPr>
        <w:t>6</w:t>
      </w:r>
      <w:r w:rsidRPr="00F737D1">
        <w:rPr>
          <w:b/>
        </w:rPr>
        <w:t xml:space="preserve"> года</w:t>
      </w:r>
    </w:p>
    <w:p w:rsidR="009B7FAC" w:rsidRDefault="009B7FAC" w:rsidP="009B7FAC">
      <w:pPr>
        <w:pStyle w:val="21"/>
        <w:spacing w:after="0" w:line="240" w:lineRule="auto"/>
        <w:jc w:val="center"/>
        <w:rPr>
          <w:b/>
          <w:i/>
        </w:rPr>
      </w:pPr>
    </w:p>
    <w:p w:rsidR="009B7FAC" w:rsidRPr="006D6B86" w:rsidRDefault="009B7FAC" w:rsidP="009B7FAC">
      <w:pPr>
        <w:pStyle w:val="21"/>
        <w:spacing w:after="0" w:line="240" w:lineRule="auto"/>
        <w:jc w:val="center"/>
        <w:rPr>
          <w:b/>
          <w:i/>
        </w:rPr>
      </w:pPr>
      <w:r w:rsidRPr="006D6B86">
        <w:rPr>
          <w:b/>
          <w:i/>
        </w:rPr>
        <w:t>ЗАКЛЮЧЕНИЕ</w:t>
      </w:r>
    </w:p>
    <w:p w:rsidR="009B7FAC" w:rsidRDefault="009B7FAC" w:rsidP="009B7FAC">
      <w:pPr>
        <w:pStyle w:val="21"/>
        <w:spacing w:after="0" w:line="240" w:lineRule="auto"/>
        <w:jc w:val="center"/>
        <w:rPr>
          <w:b/>
        </w:rPr>
      </w:pPr>
      <w:r>
        <w:rPr>
          <w:b/>
        </w:rPr>
        <w:t xml:space="preserve">по результатам </w:t>
      </w:r>
      <w:r w:rsidRPr="00F7298C">
        <w:rPr>
          <w:b/>
        </w:rPr>
        <w:t>внешней проверки бюджетной отчетности и отдельных вопросов исполнения областного бюджета за 201</w:t>
      </w:r>
      <w:r w:rsidR="001976BC">
        <w:rPr>
          <w:b/>
        </w:rPr>
        <w:t>5</w:t>
      </w:r>
      <w:r w:rsidRPr="00F7298C">
        <w:rPr>
          <w:b/>
        </w:rPr>
        <w:t xml:space="preserve"> год главным администратором средств областного бюджета – </w:t>
      </w:r>
      <w:r>
        <w:rPr>
          <w:b/>
        </w:rPr>
        <w:t xml:space="preserve">комитетом по обеспечению безопасности жизнедеятельности населения </w:t>
      </w:r>
      <w:r w:rsidRPr="00F7298C">
        <w:rPr>
          <w:b/>
        </w:rPr>
        <w:t>Волгоградской области</w:t>
      </w:r>
    </w:p>
    <w:p w:rsidR="001976BC" w:rsidRDefault="001976BC" w:rsidP="009B7FAC">
      <w:pPr>
        <w:pStyle w:val="21"/>
        <w:spacing w:after="0" w:line="240" w:lineRule="auto"/>
        <w:jc w:val="center"/>
        <w:rPr>
          <w:b/>
        </w:rPr>
      </w:pPr>
    </w:p>
    <w:p w:rsidR="001976BC" w:rsidRPr="001976BC" w:rsidRDefault="004302E5" w:rsidP="008365AE">
      <w:pPr>
        <w:autoSpaceDE w:val="0"/>
        <w:autoSpaceDN w:val="0"/>
        <w:adjustRightInd w:val="0"/>
        <w:ind w:firstLine="680"/>
        <w:jc w:val="both"/>
      </w:pPr>
      <w:proofErr w:type="gramStart"/>
      <w:r w:rsidRPr="001976BC">
        <w:t>В</w:t>
      </w:r>
      <w:r w:rsidR="00C279EB" w:rsidRPr="001976BC">
        <w:t xml:space="preserve"> соответствии с планом работы</w:t>
      </w:r>
      <w:r w:rsidRPr="001976BC">
        <w:t xml:space="preserve"> контрольно-счетной палаты Волгоградской области (далее – КСП)</w:t>
      </w:r>
      <w:r w:rsidR="00C279EB" w:rsidRPr="001976BC">
        <w:t xml:space="preserve"> на 201</w:t>
      </w:r>
      <w:r w:rsidR="001976BC" w:rsidRPr="001976BC">
        <w:t>6</w:t>
      </w:r>
      <w:r w:rsidR="00C279EB" w:rsidRPr="001976BC">
        <w:t xml:space="preserve"> год, </w:t>
      </w:r>
      <w:r w:rsidR="001976BC" w:rsidRPr="001976BC">
        <w:t>утвержденным постановлением коллегии КСП от 29.12.2015 № 34/1,</w:t>
      </w:r>
      <w:r w:rsidRPr="001976BC">
        <w:t xml:space="preserve"> </w:t>
      </w:r>
      <w:r w:rsidRPr="001976BC">
        <w:rPr>
          <w:bCs/>
        </w:rPr>
        <w:t>в целях подготовки заключения на годовой отчет об исполнении областного бюджета за 201</w:t>
      </w:r>
      <w:r w:rsidR="001976BC" w:rsidRPr="001976BC">
        <w:rPr>
          <w:bCs/>
        </w:rPr>
        <w:t>5</w:t>
      </w:r>
      <w:r w:rsidR="008365AE">
        <w:rPr>
          <w:bCs/>
        </w:rPr>
        <w:t xml:space="preserve"> год </w:t>
      </w:r>
      <w:r w:rsidRPr="001976BC">
        <w:t>проведена камеральная внешняя проверка бюджетной отчетности и отдельных вопросов исполнения областного бюджета за 201</w:t>
      </w:r>
      <w:r w:rsidR="001976BC" w:rsidRPr="001976BC">
        <w:t>5</w:t>
      </w:r>
      <w:r w:rsidRPr="001976BC">
        <w:t xml:space="preserve"> год главным администратором средств областного бюджета – к</w:t>
      </w:r>
      <w:r w:rsidRPr="001976BC">
        <w:rPr>
          <w:bCs/>
        </w:rPr>
        <w:t>омитетом по обеспечению безопасности</w:t>
      </w:r>
      <w:proofErr w:type="gramEnd"/>
      <w:r w:rsidRPr="001976BC">
        <w:rPr>
          <w:bCs/>
        </w:rPr>
        <w:t xml:space="preserve"> жизнедеятельности населения Волгоградской области</w:t>
      </w:r>
      <w:r w:rsidR="00436FE1" w:rsidRPr="001976BC">
        <w:rPr>
          <w:bCs/>
        </w:rPr>
        <w:t xml:space="preserve"> (далее – Комитет)</w:t>
      </w:r>
      <w:r w:rsidRPr="001976BC">
        <w:t>.</w:t>
      </w:r>
      <w:r w:rsidR="008365AE">
        <w:t xml:space="preserve"> </w:t>
      </w:r>
      <w:r w:rsidR="005228E4" w:rsidRPr="001976BC">
        <w:t>По итогам проверки составлен</w:t>
      </w:r>
      <w:r w:rsidR="00616137" w:rsidRPr="001976BC">
        <w:t xml:space="preserve">ы </w:t>
      </w:r>
      <w:r w:rsidR="001976BC" w:rsidRPr="001976BC">
        <w:t>один акт.</w:t>
      </w:r>
    </w:p>
    <w:p w:rsidR="008365AE" w:rsidRDefault="008365AE" w:rsidP="00436FE1">
      <w:pPr>
        <w:autoSpaceDE w:val="0"/>
        <w:autoSpaceDN w:val="0"/>
        <w:adjustRightInd w:val="0"/>
        <w:ind w:firstLine="709"/>
        <w:jc w:val="both"/>
      </w:pPr>
    </w:p>
    <w:p w:rsidR="00436FE1" w:rsidRPr="005975EF" w:rsidRDefault="00E4232C" w:rsidP="00436FE1">
      <w:pPr>
        <w:autoSpaceDE w:val="0"/>
        <w:autoSpaceDN w:val="0"/>
        <w:adjustRightInd w:val="0"/>
        <w:ind w:firstLine="709"/>
        <w:jc w:val="both"/>
      </w:pPr>
      <w:r w:rsidRPr="005975EF">
        <w:t>Комитет является органом</w:t>
      </w:r>
      <w:r w:rsidR="00436FE1" w:rsidRPr="005975EF">
        <w:t xml:space="preserve"> исполнительной власти Волгоградской области</w:t>
      </w:r>
      <w:r w:rsidR="001E1794" w:rsidRPr="005975EF">
        <w:t>,</w:t>
      </w:r>
      <w:r w:rsidR="00436FE1" w:rsidRPr="005975EF">
        <w:t xml:space="preserve"> уполномоченным в области защиты населения и территорий от чрезвычайных ситуаций природного и техногенного характера, пожарной безопасности, безопасности людей на водных объектах, гражданской обороны, а также оформления и выдачи удостоверений гражданам, подвергшимся радиационному воздействию.</w:t>
      </w:r>
    </w:p>
    <w:p w:rsidR="005975EF" w:rsidRPr="005975EF" w:rsidRDefault="005975EF" w:rsidP="005975EF">
      <w:pPr>
        <w:ind w:firstLine="680"/>
        <w:jc w:val="both"/>
      </w:pPr>
      <w:r w:rsidRPr="004C1467">
        <w:t>В соответствии с Законом Волгоградской области от 20.11.2014 № 151-ОД «Об областном бюджете на 2015 год и на плановый период 2016 и 2017 годов» (далее - Закон об областном бюджете) Комитет включен в перечень главных</w:t>
      </w:r>
      <w:r>
        <w:t xml:space="preserve"> администраторов </w:t>
      </w:r>
      <w:r w:rsidRPr="004C1467">
        <w:t xml:space="preserve"> </w:t>
      </w:r>
      <w:r>
        <w:t xml:space="preserve">доходов </w:t>
      </w:r>
      <w:r w:rsidRPr="005975EF">
        <w:t>областного бюджета и главных распорядителей средств областного бюджета.</w:t>
      </w:r>
    </w:p>
    <w:p w:rsidR="000D7F8B" w:rsidRDefault="00112C8F" w:rsidP="005975EF">
      <w:pPr>
        <w:pStyle w:val="1"/>
        <w:spacing w:before="0" w:after="0"/>
        <w:ind w:firstLine="680"/>
        <w:jc w:val="both"/>
        <w:rPr>
          <w:rFonts w:ascii="Times New Roman" w:hAnsi="Times New Roman"/>
          <w:b w:val="0"/>
          <w:color w:val="auto"/>
          <w:sz w:val="24"/>
          <w:szCs w:val="24"/>
        </w:rPr>
      </w:pPr>
      <w:r w:rsidRPr="00112C8F">
        <w:rPr>
          <w:rFonts w:ascii="Times New Roman" w:hAnsi="Times New Roman"/>
          <w:b w:val="0"/>
          <w:color w:val="auto"/>
          <w:sz w:val="24"/>
          <w:szCs w:val="24"/>
        </w:rPr>
        <w:t xml:space="preserve">Законом </w:t>
      </w:r>
      <w:r w:rsidR="008365AE">
        <w:rPr>
          <w:rFonts w:ascii="Times New Roman" w:hAnsi="Times New Roman"/>
          <w:b w:val="0"/>
          <w:color w:val="auto"/>
          <w:sz w:val="24"/>
          <w:szCs w:val="24"/>
        </w:rPr>
        <w:t>об областном бюджете</w:t>
      </w:r>
      <w:r w:rsidRPr="00112C8F">
        <w:rPr>
          <w:rFonts w:ascii="Times New Roman" w:hAnsi="Times New Roman"/>
          <w:b w:val="0"/>
          <w:color w:val="auto"/>
          <w:sz w:val="24"/>
          <w:szCs w:val="24"/>
        </w:rPr>
        <w:t xml:space="preserve"> </w:t>
      </w:r>
      <w:r w:rsidR="005975EF" w:rsidRPr="00112C8F">
        <w:rPr>
          <w:rFonts w:ascii="Times New Roman" w:hAnsi="Times New Roman"/>
          <w:b w:val="0"/>
          <w:color w:val="auto"/>
          <w:sz w:val="24"/>
          <w:szCs w:val="24"/>
        </w:rPr>
        <w:t>предельная штатная численность государственных гражданских служащих (далее – ГГС) Комитета</w:t>
      </w:r>
      <w:r w:rsidRPr="00112C8F">
        <w:rPr>
          <w:rFonts w:ascii="Times New Roman" w:hAnsi="Times New Roman"/>
          <w:b w:val="0"/>
          <w:color w:val="auto"/>
          <w:sz w:val="24"/>
          <w:szCs w:val="24"/>
        </w:rPr>
        <w:t xml:space="preserve"> </w:t>
      </w:r>
      <w:r w:rsidR="005975EF" w:rsidRPr="00112C8F">
        <w:rPr>
          <w:rFonts w:ascii="Times New Roman" w:hAnsi="Times New Roman"/>
          <w:b w:val="0"/>
          <w:color w:val="auto"/>
          <w:sz w:val="24"/>
          <w:szCs w:val="24"/>
        </w:rPr>
        <w:t>утверждена в количестве 51 единицы.</w:t>
      </w:r>
      <w:r w:rsidR="005975EF" w:rsidRPr="005975EF">
        <w:rPr>
          <w:rFonts w:ascii="Times New Roman" w:hAnsi="Times New Roman"/>
          <w:b w:val="0"/>
          <w:color w:val="auto"/>
          <w:sz w:val="24"/>
          <w:szCs w:val="24"/>
        </w:rPr>
        <w:t xml:space="preserve"> По отношению к 2014 году предельная штатная численность ГГС не изменилась</w:t>
      </w:r>
      <w:r w:rsidR="005975EF" w:rsidRPr="000D7F8B">
        <w:rPr>
          <w:rFonts w:ascii="Times New Roman" w:hAnsi="Times New Roman"/>
          <w:b w:val="0"/>
          <w:color w:val="auto"/>
          <w:sz w:val="24"/>
          <w:szCs w:val="24"/>
        </w:rPr>
        <w:t>.</w:t>
      </w:r>
    </w:p>
    <w:p w:rsidR="005975EF" w:rsidRDefault="000D7F8B" w:rsidP="00C4638E">
      <w:pPr>
        <w:pStyle w:val="1"/>
        <w:spacing w:before="0" w:after="0"/>
        <w:ind w:firstLine="680"/>
        <w:jc w:val="both"/>
        <w:rPr>
          <w:rFonts w:ascii="Times New Roman" w:hAnsi="Times New Roman"/>
          <w:b w:val="0"/>
          <w:color w:val="auto"/>
          <w:sz w:val="24"/>
          <w:szCs w:val="24"/>
        </w:rPr>
      </w:pPr>
      <w:r>
        <w:rPr>
          <w:rFonts w:ascii="Times New Roman" w:hAnsi="Times New Roman"/>
          <w:b w:val="0"/>
          <w:color w:val="auto"/>
          <w:sz w:val="24"/>
          <w:szCs w:val="24"/>
        </w:rPr>
        <w:t>Штатная численно</w:t>
      </w:r>
      <w:r w:rsidR="00C4638E">
        <w:rPr>
          <w:rFonts w:ascii="Times New Roman" w:hAnsi="Times New Roman"/>
          <w:b w:val="0"/>
          <w:color w:val="auto"/>
          <w:sz w:val="24"/>
          <w:szCs w:val="24"/>
        </w:rPr>
        <w:t xml:space="preserve">сть Комитета утверждена в количестве 61 ед. (из них 51 ед. ГГС), фактически на </w:t>
      </w:r>
      <w:r w:rsidR="005975EF" w:rsidRPr="000D7F8B">
        <w:rPr>
          <w:rFonts w:ascii="Times New Roman" w:hAnsi="Times New Roman"/>
          <w:b w:val="0"/>
          <w:color w:val="auto"/>
          <w:sz w:val="24"/>
          <w:szCs w:val="24"/>
        </w:rPr>
        <w:t>31.12.2015 замещено</w:t>
      </w:r>
      <w:r w:rsidR="005975EF" w:rsidRPr="005975EF">
        <w:rPr>
          <w:rFonts w:ascii="Times New Roman" w:hAnsi="Times New Roman"/>
          <w:b w:val="0"/>
          <w:color w:val="auto"/>
          <w:sz w:val="24"/>
          <w:szCs w:val="24"/>
        </w:rPr>
        <w:t xml:space="preserve"> 60 </w:t>
      </w:r>
      <w:r w:rsidR="00C4638E">
        <w:rPr>
          <w:rFonts w:ascii="Times New Roman" w:hAnsi="Times New Roman"/>
          <w:b w:val="0"/>
          <w:color w:val="auto"/>
          <w:sz w:val="24"/>
          <w:szCs w:val="24"/>
        </w:rPr>
        <w:t xml:space="preserve">ед. </w:t>
      </w:r>
      <w:r w:rsidR="005975EF" w:rsidRPr="005975EF">
        <w:rPr>
          <w:rFonts w:ascii="Times New Roman" w:hAnsi="Times New Roman"/>
          <w:b w:val="0"/>
          <w:color w:val="auto"/>
          <w:sz w:val="24"/>
          <w:szCs w:val="24"/>
        </w:rPr>
        <w:t>должностей</w:t>
      </w:r>
      <w:r w:rsidR="00C4638E">
        <w:rPr>
          <w:rFonts w:ascii="Times New Roman" w:hAnsi="Times New Roman"/>
          <w:b w:val="0"/>
          <w:color w:val="auto"/>
          <w:sz w:val="24"/>
          <w:szCs w:val="24"/>
        </w:rPr>
        <w:t xml:space="preserve"> (из них</w:t>
      </w:r>
      <w:r w:rsidR="005975EF" w:rsidRPr="005975EF">
        <w:rPr>
          <w:rFonts w:ascii="Times New Roman" w:hAnsi="Times New Roman"/>
          <w:b w:val="0"/>
          <w:color w:val="auto"/>
          <w:sz w:val="24"/>
          <w:szCs w:val="24"/>
        </w:rPr>
        <w:t xml:space="preserve"> 50</w:t>
      </w:r>
      <w:r w:rsidR="00C4638E">
        <w:rPr>
          <w:rFonts w:ascii="Times New Roman" w:hAnsi="Times New Roman"/>
          <w:b w:val="0"/>
          <w:color w:val="auto"/>
          <w:sz w:val="24"/>
          <w:szCs w:val="24"/>
        </w:rPr>
        <w:t xml:space="preserve"> ед. </w:t>
      </w:r>
      <w:r w:rsidR="005975EF" w:rsidRPr="005975EF">
        <w:rPr>
          <w:rFonts w:ascii="Times New Roman" w:hAnsi="Times New Roman"/>
          <w:b w:val="0"/>
          <w:color w:val="auto"/>
          <w:sz w:val="24"/>
          <w:szCs w:val="24"/>
        </w:rPr>
        <w:t>ГГС</w:t>
      </w:r>
      <w:r w:rsidR="00C4638E">
        <w:rPr>
          <w:rFonts w:ascii="Times New Roman" w:hAnsi="Times New Roman"/>
          <w:b w:val="0"/>
          <w:color w:val="auto"/>
          <w:sz w:val="24"/>
          <w:szCs w:val="24"/>
        </w:rPr>
        <w:t>)</w:t>
      </w:r>
      <w:r w:rsidR="005975EF" w:rsidRPr="005975EF">
        <w:rPr>
          <w:rFonts w:ascii="Times New Roman" w:hAnsi="Times New Roman"/>
          <w:b w:val="0"/>
          <w:color w:val="auto"/>
          <w:sz w:val="24"/>
          <w:szCs w:val="24"/>
        </w:rPr>
        <w:t>.</w:t>
      </w:r>
    </w:p>
    <w:p w:rsidR="005975EF" w:rsidRDefault="005975EF" w:rsidP="005975EF">
      <w:pPr>
        <w:ind w:firstLine="680"/>
        <w:jc w:val="both"/>
      </w:pPr>
      <w:r w:rsidRPr="005975EF">
        <w:t>По состоянию на 01.01.2016 Комитет имел 10 подведомственных учреждений</w:t>
      </w:r>
      <w:r>
        <w:t xml:space="preserve">: </w:t>
      </w:r>
      <w:r w:rsidRPr="005975EF">
        <w:t xml:space="preserve">1 бюджетное </w:t>
      </w:r>
      <w:r>
        <w:t xml:space="preserve">- </w:t>
      </w:r>
      <w:r w:rsidRPr="005975EF">
        <w:t>государственное бюджетное образовательное учреждение дополнительного профессионального образования «Учебно-методический центр по гражданской обороне, чрезвычайным ситуациям и пожарной безопасности Волгоградской области» (далее – ГБОУ «УМЦ») и 9 казенных</w:t>
      </w:r>
      <w:r>
        <w:t xml:space="preserve"> учреждений</w:t>
      </w:r>
      <w:r w:rsidR="005F58C6">
        <w:t>, являющихся получателями средств областного бюджета.</w:t>
      </w:r>
    </w:p>
    <w:p w:rsidR="005975EF" w:rsidRDefault="005975EF" w:rsidP="005975EF">
      <w:pPr>
        <w:ind w:firstLine="680"/>
        <w:jc w:val="both"/>
      </w:pPr>
    </w:p>
    <w:p w:rsidR="001249F2" w:rsidRPr="004C1467" w:rsidRDefault="001249F2" w:rsidP="001249F2">
      <w:pPr>
        <w:autoSpaceDE w:val="0"/>
        <w:autoSpaceDN w:val="0"/>
        <w:adjustRightInd w:val="0"/>
        <w:ind w:firstLine="680"/>
        <w:jc w:val="center"/>
        <w:rPr>
          <w:b/>
        </w:rPr>
      </w:pPr>
      <w:r w:rsidRPr="004C1467">
        <w:rPr>
          <w:b/>
          <w:color w:val="000000"/>
        </w:rPr>
        <w:t xml:space="preserve">Проверка полноты и </w:t>
      </w:r>
      <w:r>
        <w:rPr>
          <w:b/>
          <w:color w:val="000000"/>
        </w:rPr>
        <w:t xml:space="preserve">правильности заполнения сводной </w:t>
      </w:r>
      <w:r w:rsidRPr="004C1467">
        <w:rPr>
          <w:b/>
          <w:color w:val="000000"/>
        </w:rPr>
        <w:t xml:space="preserve">бюджетной отчетности Комитета и бюджетной отчетности </w:t>
      </w:r>
      <w:r>
        <w:rPr>
          <w:b/>
          <w:color w:val="000000"/>
        </w:rPr>
        <w:t>учреждений</w:t>
      </w:r>
    </w:p>
    <w:p w:rsidR="001249F2" w:rsidRDefault="001249F2" w:rsidP="001249F2">
      <w:pPr>
        <w:ind w:firstLine="680"/>
        <w:jc w:val="both"/>
        <w:rPr>
          <w:bCs/>
        </w:rPr>
      </w:pPr>
      <w:proofErr w:type="gramStart"/>
      <w:r w:rsidRPr="004C1467">
        <w:t>Сводная бюджетная отчетность Комитета, ГБОУ «УМЦ» и казенных учреждений представлена к проверке в составе, определенном ст. 264.1 БК РФ,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 Инструкция № 191н)</w:t>
      </w:r>
      <w:r w:rsidR="00825005">
        <w:t>,</w:t>
      </w:r>
      <w:r>
        <w:t xml:space="preserve"> и</w:t>
      </w:r>
      <w:r w:rsidRPr="004C1467">
        <w:t xml:space="preserve"> Инструкцией о порядке составления, представления годовой, квартальной бухгалтерской отчетности </w:t>
      </w:r>
      <w:r w:rsidRPr="004C1467">
        <w:rPr>
          <w:bCs/>
        </w:rPr>
        <w:t>государственных (муниципальных) бюджетных и</w:t>
      </w:r>
      <w:proofErr w:type="gramEnd"/>
      <w:r w:rsidRPr="004C1467">
        <w:rPr>
          <w:bCs/>
        </w:rPr>
        <w:t xml:space="preserve"> автономных учреждений, утвержденной приказом Минфина РФ от 25.03.2011 № 33н</w:t>
      </w:r>
      <w:r w:rsidR="00932B9B">
        <w:rPr>
          <w:bCs/>
        </w:rPr>
        <w:t xml:space="preserve"> (далее – Инструкция № 33н)</w:t>
      </w:r>
      <w:r w:rsidRPr="004C1467">
        <w:rPr>
          <w:bCs/>
        </w:rPr>
        <w:t>.</w:t>
      </w:r>
    </w:p>
    <w:p w:rsidR="001249F2" w:rsidRPr="003B5C38" w:rsidRDefault="001249F2" w:rsidP="001249F2">
      <w:pPr>
        <w:autoSpaceDE w:val="0"/>
        <w:autoSpaceDN w:val="0"/>
        <w:adjustRightInd w:val="0"/>
        <w:ind w:firstLine="720"/>
        <w:jc w:val="both"/>
      </w:pPr>
      <w:r w:rsidRPr="003B5C38">
        <w:t xml:space="preserve">Визуальной проверкой правильности заполнения Комитетом </w:t>
      </w:r>
      <w:r w:rsidR="003B5C38" w:rsidRPr="003B5C38">
        <w:t xml:space="preserve">и подведомственными ему учреждениями </w:t>
      </w:r>
      <w:r w:rsidRPr="003B5C38">
        <w:t>форм бюджетной отчетности установлены следующие нарушения</w:t>
      </w:r>
      <w:r w:rsidR="003B5C38" w:rsidRPr="003B5C38">
        <w:t xml:space="preserve"> и недостатки</w:t>
      </w:r>
      <w:r w:rsidRPr="003B5C38">
        <w:t>:</w:t>
      </w:r>
    </w:p>
    <w:p w:rsidR="001249F2" w:rsidRPr="00E81241" w:rsidRDefault="001249F2" w:rsidP="001249F2">
      <w:pPr>
        <w:ind w:firstLine="680"/>
        <w:jc w:val="both"/>
      </w:pPr>
      <w:r w:rsidRPr="00085D25">
        <w:t>1. В текстовой части Пояснительных записок (ф. 0503160) казенных учреждений не отражена информация об отсутствии 2</w:t>
      </w:r>
      <w:r w:rsidR="00253B2C">
        <w:t>3</w:t>
      </w:r>
      <w:r w:rsidRPr="00085D25">
        <w:t xml:space="preserve"> форм бюджетной отчетностей (показатели которых не </w:t>
      </w:r>
      <w:r w:rsidRPr="00E81241">
        <w:t xml:space="preserve">имеют числового значения), чем не </w:t>
      </w:r>
      <w:proofErr w:type="gramStart"/>
      <w:r w:rsidRPr="00E81241">
        <w:t>соблюден</w:t>
      </w:r>
      <w:proofErr w:type="gramEnd"/>
      <w:r w:rsidR="00E81241" w:rsidRPr="00E81241">
        <w:t xml:space="preserve"> п. 8 Инструкции № 191н, в т.ч.</w:t>
      </w:r>
      <w:r w:rsidRPr="00E81241">
        <w:t>:</w:t>
      </w:r>
    </w:p>
    <w:p w:rsidR="003B5C38" w:rsidRPr="00E81241" w:rsidRDefault="001249F2" w:rsidP="003B5C38">
      <w:pPr>
        <w:pStyle w:val="ae"/>
        <w:spacing w:before="0" w:beforeAutospacing="0" w:after="0" w:afterAutospacing="0"/>
        <w:ind w:firstLine="680"/>
        <w:jc w:val="both"/>
      </w:pPr>
      <w:r w:rsidRPr="00E81241">
        <w:lastRenderedPageBreak/>
        <w:t>-</w:t>
      </w:r>
      <w:r w:rsidR="003B5C38" w:rsidRPr="00E81241">
        <w:t xml:space="preserve"> государственно</w:t>
      </w:r>
      <w:r w:rsidR="00E81241" w:rsidRPr="00E81241">
        <w:t>го</w:t>
      </w:r>
      <w:r w:rsidR="003B5C38" w:rsidRPr="00E81241">
        <w:t xml:space="preserve"> казенно</w:t>
      </w:r>
      <w:r w:rsidR="00E81241" w:rsidRPr="00E81241">
        <w:t>го</w:t>
      </w:r>
      <w:r w:rsidR="003B5C38" w:rsidRPr="00E81241">
        <w:t xml:space="preserve"> учреждени</w:t>
      </w:r>
      <w:r w:rsidR="00E81241" w:rsidRPr="00E81241">
        <w:t>я</w:t>
      </w:r>
      <w:r w:rsidR="003B5C38" w:rsidRPr="00E81241">
        <w:t xml:space="preserve"> Волгоградской области «1 Отряд Противопожарной службы» (далее - ГКУ «1 отряд ПС»)</w:t>
      </w:r>
      <w:r w:rsidR="00E81241" w:rsidRPr="00E81241">
        <w:t>,</w:t>
      </w:r>
      <w:r w:rsidR="003B5C38" w:rsidRPr="00E81241">
        <w:t xml:space="preserve"> государственно</w:t>
      </w:r>
      <w:r w:rsidR="00E81241" w:rsidRPr="00E81241">
        <w:t>го</w:t>
      </w:r>
      <w:r w:rsidR="003B5C38" w:rsidRPr="00E81241">
        <w:t xml:space="preserve"> казенно</w:t>
      </w:r>
      <w:r w:rsidR="00E81241" w:rsidRPr="00E81241">
        <w:t>го</w:t>
      </w:r>
      <w:r w:rsidR="003B5C38" w:rsidRPr="00E81241">
        <w:t xml:space="preserve"> учреждени</w:t>
      </w:r>
      <w:r w:rsidR="00E81241" w:rsidRPr="00E81241">
        <w:t>я</w:t>
      </w:r>
      <w:r w:rsidR="003B5C38" w:rsidRPr="00E81241">
        <w:t xml:space="preserve"> Волгоградской области «4 Отряд Противопожарной слу</w:t>
      </w:r>
      <w:r w:rsidR="00E81241" w:rsidRPr="00E81241">
        <w:t>жбы» (далее - ГКУ «4 отряд ПС») и</w:t>
      </w:r>
      <w:r w:rsidR="003B5C38" w:rsidRPr="00E81241">
        <w:t xml:space="preserve"> государственно</w:t>
      </w:r>
      <w:r w:rsidR="00E81241" w:rsidRPr="00E81241">
        <w:t>го</w:t>
      </w:r>
      <w:r w:rsidR="003B5C38" w:rsidRPr="00E81241">
        <w:t xml:space="preserve"> казенно</w:t>
      </w:r>
      <w:r w:rsidR="00E81241" w:rsidRPr="00E81241">
        <w:t>го</w:t>
      </w:r>
      <w:r w:rsidR="003B5C38" w:rsidRPr="00E81241">
        <w:t xml:space="preserve"> учреждени</w:t>
      </w:r>
      <w:r w:rsidR="00E81241" w:rsidRPr="00E81241">
        <w:t>я</w:t>
      </w:r>
      <w:r w:rsidR="003B5C38" w:rsidRPr="00E81241">
        <w:t xml:space="preserve"> Волгоградской области «Учебно-материальная база гражданской обороны Волгоградской области» (далее - ГКУ «УМБ») – одной формы;</w:t>
      </w:r>
    </w:p>
    <w:p w:rsidR="003B5C38" w:rsidRPr="00E81241" w:rsidRDefault="003B5C38" w:rsidP="003B5C38">
      <w:pPr>
        <w:pStyle w:val="ae"/>
        <w:spacing w:before="0" w:beforeAutospacing="0" w:after="0" w:afterAutospacing="0"/>
        <w:ind w:firstLine="680"/>
        <w:jc w:val="both"/>
      </w:pPr>
      <w:r w:rsidRPr="00E81241">
        <w:t>- государственно</w:t>
      </w:r>
      <w:r w:rsidR="00E81241" w:rsidRPr="00E81241">
        <w:t>го</w:t>
      </w:r>
      <w:r w:rsidRPr="00E81241">
        <w:t xml:space="preserve"> казенно</w:t>
      </w:r>
      <w:r w:rsidR="00E81241" w:rsidRPr="00E81241">
        <w:t>го</w:t>
      </w:r>
      <w:r w:rsidRPr="00E81241">
        <w:t xml:space="preserve"> учреждени</w:t>
      </w:r>
      <w:r w:rsidR="00E81241" w:rsidRPr="00E81241">
        <w:t>я</w:t>
      </w:r>
      <w:r w:rsidRPr="00E81241">
        <w:t xml:space="preserve"> Волгоградской области «Центр управления и связи» (далее - ГКУ «</w:t>
      </w:r>
      <w:proofErr w:type="spellStart"/>
      <w:r w:rsidRPr="00E81241">
        <w:t>ЦУиС</w:t>
      </w:r>
      <w:proofErr w:type="spellEnd"/>
      <w:r w:rsidRPr="00E81241">
        <w:t xml:space="preserve">») – трех форм; </w:t>
      </w:r>
    </w:p>
    <w:p w:rsidR="003B5C38" w:rsidRPr="00E81241" w:rsidRDefault="003B5C38" w:rsidP="003B5C38">
      <w:pPr>
        <w:pStyle w:val="ae"/>
        <w:spacing w:before="0" w:beforeAutospacing="0" w:after="0" w:afterAutospacing="0"/>
        <w:ind w:firstLine="680"/>
        <w:jc w:val="both"/>
      </w:pPr>
      <w:r w:rsidRPr="00E81241">
        <w:t>- государственно</w:t>
      </w:r>
      <w:r w:rsidR="00E81241" w:rsidRPr="00E81241">
        <w:t>го</w:t>
      </w:r>
      <w:r w:rsidRPr="00E81241">
        <w:t xml:space="preserve"> казенно</w:t>
      </w:r>
      <w:r w:rsidR="00E81241" w:rsidRPr="00E81241">
        <w:t>го</w:t>
      </w:r>
      <w:r w:rsidRPr="00E81241">
        <w:t xml:space="preserve"> учреждени</w:t>
      </w:r>
      <w:r w:rsidR="00E81241" w:rsidRPr="00E81241">
        <w:t>я</w:t>
      </w:r>
      <w:r w:rsidRPr="00E81241">
        <w:t xml:space="preserve"> Волгоградской области «5 Отряд Противопожарной службы» (далее - ГКУ «5 отряд ПС») – восьми форм; </w:t>
      </w:r>
    </w:p>
    <w:p w:rsidR="003B5C38" w:rsidRPr="00E81241" w:rsidRDefault="003B5C38" w:rsidP="003B5C38">
      <w:pPr>
        <w:pStyle w:val="ae"/>
        <w:spacing w:before="0" w:beforeAutospacing="0" w:after="0" w:afterAutospacing="0"/>
        <w:ind w:firstLine="680"/>
        <w:jc w:val="both"/>
      </w:pPr>
      <w:r w:rsidRPr="00E81241">
        <w:t>- государственно</w:t>
      </w:r>
      <w:r w:rsidR="00E81241" w:rsidRPr="00E81241">
        <w:t>го</w:t>
      </w:r>
      <w:r w:rsidRPr="00E81241">
        <w:t>  казенно</w:t>
      </w:r>
      <w:r w:rsidR="00E81241" w:rsidRPr="00E81241">
        <w:t>го</w:t>
      </w:r>
      <w:r w:rsidRPr="00E81241">
        <w:t xml:space="preserve"> учреждени</w:t>
      </w:r>
      <w:r w:rsidR="00E81241" w:rsidRPr="00E81241">
        <w:t>я</w:t>
      </w:r>
      <w:r w:rsidRPr="00E81241">
        <w:t xml:space="preserve"> Волгоградской области «Комплекс» (далее - ГКУ «Комплекс») – девяти форм. </w:t>
      </w:r>
    </w:p>
    <w:p w:rsidR="001249F2" w:rsidRPr="00CB4BFA" w:rsidRDefault="001249F2" w:rsidP="001249F2">
      <w:pPr>
        <w:ind w:firstLine="680"/>
        <w:jc w:val="both"/>
      </w:pPr>
      <w:r w:rsidRPr="00E81241">
        <w:t>2. ГКУ «1 отряд ПС» в Сведени</w:t>
      </w:r>
      <w:r w:rsidR="00E81241" w:rsidRPr="00E81241">
        <w:t>ях</w:t>
      </w:r>
      <w:r w:rsidRPr="00E81241">
        <w:t xml:space="preserve"> об основных направлениях деятельности (таблица № 1)</w:t>
      </w:r>
      <w:r w:rsidR="00E81241" w:rsidRPr="00E81241">
        <w:t xml:space="preserve"> в составе Пояснительной записки (ф. 0503160) </w:t>
      </w:r>
      <w:r w:rsidRPr="00E81241">
        <w:t xml:space="preserve"> не указаны краткая</w:t>
      </w:r>
      <w:r w:rsidRPr="004C1467">
        <w:t xml:space="preserve"> характеристика</w:t>
      </w:r>
      <w:r w:rsidR="00E81241">
        <w:t xml:space="preserve"> целей деятельности учреждения </w:t>
      </w:r>
      <w:r w:rsidRPr="004C1467">
        <w:t xml:space="preserve">и правовое обоснование целей и функций в соответствии с действующими нормативными правовыми и организационно-распорядительными </w:t>
      </w:r>
      <w:r w:rsidRPr="00CB4BFA">
        <w:t>документами, чем не соблюден п. 153 Инструкции 191н.</w:t>
      </w:r>
    </w:p>
    <w:p w:rsidR="001249F2" w:rsidRPr="00E81241" w:rsidRDefault="001249F2" w:rsidP="00E81241">
      <w:pPr>
        <w:pStyle w:val="ae"/>
        <w:spacing w:before="0" w:beforeAutospacing="0" w:after="0" w:afterAutospacing="0"/>
        <w:ind w:firstLine="680"/>
        <w:jc w:val="both"/>
        <w:rPr>
          <w:highlight w:val="yellow"/>
        </w:rPr>
      </w:pPr>
      <w:r w:rsidRPr="00CB4BFA">
        <w:t xml:space="preserve">3. </w:t>
      </w:r>
      <w:proofErr w:type="gramStart"/>
      <w:r w:rsidR="00E81241" w:rsidRPr="00CB4BFA">
        <w:t xml:space="preserve">Государственным казенным учреждением Волгоградской области «2 Отряд противопожарной службы» (далее – ГКУ «2 отряд ПС») и государственным казенным учреждением Волгоградской области «Аварийно-спасательная служба Волгоградской области» (далее - ГКУ «АСС») </w:t>
      </w:r>
      <w:r w:rsidRPr="00CB4BFA">
        <w:t>в Сведениях о результатах внешн</w:t>
      </w:r>
      <w:r w:rsidR="00584CFF">
        <w:t xml:space="preserve">его государственного (муниципального) финансового контроля </w:t>
      </w:r>
      <w:r w:rsidRPr="00CB4BFA">
        <w:t xml:space="preserve">(таблица № 7) </w:t>
      </w:r>
      <w:r w:rsidR="00E81241" w:rsidRPr="00CB4BFA">
        <w:t xml:space="preserve">в составе Пояснительной </w:t>
      </w:r>
      <w:r w:rsidR="00DF410D">
        <w:t>запис</w:t>
      </w:r>
      <w:r w:rsidR="00E81241" w:rsidRPr="00CB4BFA">
        <w:t>ки (ф. 0503160</w:t>
      </w:r>
      <w:r w:rsidR="00E81241">
        <w:t xml:space="preserve">) </w:t>
      </w:r>
      <w:r w:rsidR="00E81241" w:rsidRPr="004C1467">
        <w:t xml:space="preserve"> </w:t>
      </w:r>
      <w:r w:rsidR="00E81241">
        <w:t xml:space="preserve">не отражена </w:t>
      </w:r>
      <w:r w:rsidRPr="004C1467">
        <w:t>информация о встречной проверке учреждений, проведенной КСП в 2015 году</w:t>
      </w:r>
      <w:r w:rsidR="003429ED">
        <w:t>,</w:t>
      </w:r>
      <w:r w:rsidRPr="004C1467">
        <w:t xml:space="preserve"> в рамках камеральной внешней</w:t>
      </w:r>
      <w:proofErr w:type="gramEnd"/>
      <w:r w:rsidRPr="004C1467">
        <w:t xml:space="preserve"> проверки бюджетной отчетности и отдельных вопросов исполнения областного бюджета </w:t>
      </w:r>
      <w:r w:rsidR="00E81241">
        <w:t xml:space="preserve">Комитетом </w:t>
      </w:r>
      <w:r w:rsidRPr="004C1467">
        <w:t>за 2014 год</w:t>
      </w:r>
      <w:r>
        <w:t>,</w:t>
      </w:r>
      <w:r w:rsidR="00E81241">
        <w:t xml:space="preserve"> </w:t>
      </w:r>
      <w:r w:rsidRPr="004C1467">
        <w:t>чем не соблюден п. 159 Инструкции 191н.</w:t>
      </w:r>
    </w:p>
    <w:p w:rsidR="00584CFF" w:rsidRDefault="001249F2" w:rsidP="001249F2">
      <w:pPr>
        <w:ind w:firstLine="680"/>
        <w:jc w:val="both"/>
      </w:pPr>
      <w:proofErr w:type="gramStart"/>
      <w:r w:rsidRPr="004C1467">
        <w:t>Кроме того, ГКУ «Комплекс»</w:t>
      </w:r>
      <w:r w:rsidR="00584CFF">
        <w:t>,</w:t>
      </w:r>
      <w:r w:rsidRPr="004C1467">
        <w:t xml:space="preserve"> ГКУ «</w:t>
      </w:r>
      <w:proofErr w:type="spellStart"/>
      <w:r w:rsidRPr="004C1467">
        <w:t>ЦУиС</w:t>
      </w:r>
      <w:proofErr w:type="spellEnd"/>
      <w:r w:rsidRPr="004C1467">
        <w:t xml:space="preserve">» </w:t>
      </w:r>
      <w:r w:rsidR="00584CFF">
        <w:t xml:space="preserve">и </w:t>
      </w:r>
      <w:r w:rsidR="00584CFF" w:rsidRPr="004C1467">
        <w:t>ГБОУ «УМЦ»</w:t>
      </w:r>
      <w:r w:rsidR="00584CFF">
        <w:t xml:space="preserve"> в</w:t>
      </w:r>
      <w:r w:rsidRPr="004C1467">
        <w:t xml:space="preserve"> нарушение п. 159 Инструкции № 191н </w:t>
      </w:r>
      <w:r w:rsidR="00584CFF">
        <w:t>и п. 64 Инструкции № 33н</w:t>
      </w:r>
      <w:r w:rsidR="00584CFF" w:rsidRPr="004C1467">
        <w:t xml:space="preserve"> </w:t>
      </w:r>
      <w:r w:rsidRPr="004C1467">
        <w:t xml:space="preserve">в вышеназванной </w:t>
      </w:r>
      <w:r w:rsidR="003429ED">
        <w:t xml:space="preserve">таблице </w:t>
      </w:r>
      <w:r w:rsidRPr="004C1467">
        <w:t xml:space="preserve">отражена информация о проведенных проверках </w:t>
      </w:r>
      <w:r w:rsidR="00171099">
        <w:t xml:space="preserve">отделениями </w:t>
      </w:r>
      <w:r w:rsidR="003429ED">
        <w:t>Фонда</w:t>
      </w:r>
      <w:r w:rsidRPr="004C1467">
        <w:t xml:space="preserve"> социально</w:t>
      </w:r>
      <w:r w:rsidR="00DC4E27">
        <w:t>го</w:t>
      </w:r>
      <w:r w:rsidRPr="004C1467">
        <w:t xml:space="preserve"> страхования РФ</w:t>
      </w:r>
      <w:r w:rsidR="00171099">
        <w:t xml:space="preserve"> и </w:t>
      </w:r>
      <w:r w:rsidRPr="004C1467">
        <w:t xml:space="preserve">Пенсионного </w:t>
      </w:r>
      <w:r w:rsidR="00DC4E27">
        <w:t>ф</w:t>
      </w:r>
      <w:r w:rsidRPr="004C1467">
        <w:t>онда Р</w:t>
      </w:r>
      <w:r w:rsidR="00DC4E27">
        <w:t>Ф, ми</w:t>
      </w:r>
      <w:r w:rsidRPr="004C1467">
        <w:t xml:space="preserve">нистерством труда и социальной защиты населения Волгоградской области, министерством по управлению государственным имуществом Волгоградской области, которые не являются органами внешнего государственного контроля. </w:t>
      </w:r>
      <w:proofErr w:type="gramEnd"/>
    </w:p>
    <w:p w:rsidR="001249F2" w:rsidRPr="001249F2" w:rsidRDefault="001249F2" w:rsidP="001249F2">
      <w:pPr>
        <w:ind w:firstLine="680"/>
        <w:jc w:val="both"/>
      </w:pPr>
      <w:r>
        <w:t>4</w:t>
      </w:r>
      <w:r w:rsidRPr="004C1467">
        <w:t xml:space="preserve">. В нарушение требований п. 157 Инструкции № 191н </w:t>
      </w:r>
      <w:r w:rsidR="000D18A1">
        <w:t xml:space="preserve">и </w:t>
      </w:r>
      <w:r w:rsidR="000D18A1" w:rsidRPr="001249F2">
        <w:t>п. 62 Инструкции № 33н</w:t>
      </w:r>
      <w:r w:rsidR="000D18A1" w:rsidRPr="004C1467">
        <w:t xml:space="preserve"> </w:t>
      </w:r>
      <w:r w:rsidRPr="004C1467">
        <w:t xml:space="preserve">всеми учреждениями, за исключением ГКУ «УМБ», в Сведениях о результатах мероприятий внутреннего государственного (муниципального) финансового контроля (таблица № 5) </w:t>
      </w:r>
      <w:r w:rsidR="000D18A1">
        <w:t>в составе Пояснительн</w:t>
      </w:r>
      <w:r w:rsidR="003429ED">
        <w:t>ых</w:t>
      </w:r>
      <w:r w:rsidR="000D18A1">
        <w:t xml:space="preserve"> запис</w:t>
      </w:r>
      <w:r w:rsidR="003429ED">
        <w:t>ок</w:t>
      </w:r>
      <w:r w:rsidR="000D18A1">
        <w:t xml:space="preserve"> </w:t>
      </w:r>
      <w:r w:rsidR="000D18A1" w:rsidRPr="00CB4BFA">
        <w:t>(ф. 0503160</w:t>
      </w:r>
      <w:r w:rsidR="000D18A1">
        <w:t xml:space="preserve">, ф. 0503760) </w:t>
      </w:r>
      <w:r w:rsidR="000D18A1" w:rsidRPr="004C1467">
        <w:t xml:space="preserve"> </w:t>
      </w:r>
      <w:r w:rsidRPr="004C1467">
        <w:t xml:space="preserve">отражена информация о предварительном, текущем, последующем контроле, который проводился этими учреждениями. </w:t>
      </w:r>
      <w:proofErr w:type="gramStart"/>
      <w:r w:rsidRPr="004C1467">
        <w:t xml:space="preserve">Согласно </w:t>
      </w:r>
      <w:r w:rsidR="000D18A1">
        <w:t>вы</w:t>
      </w:r>
      <w:r w:rsidR="002829B6">
        <w:t>шеприведенным пунктам Инструкций</w:t>
      </w:r>
      <w:r w:rsidR="000D18A1">
        <w:t xml:space="preserve"> № 191н и 33н </w:t>
      </w:r>
      <w:r w:rsidRPr="004C1467">
        <w:t xml:space="preserve">в </w:t>
      </w:r>
      <w:r w:rsidR="000D18A1">
        <w:t xml:space="preserve">названной </w:t>
      </w:r>
      <w:r w:rsidR="003429ED">
        <w:t>таблице</w:t>
      </w:r>
      <w:r w:rsidR="000D18A1">
        <w:t xml:space="preserve"> </w:t>
      </w:r>
      <w:r w:rsidRPr="004C1467">
        <w:t xml:space="preserve">должна отражаться информация о результатах контрольных мероприятий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w:t>
      </w:r>
      <w:r w:rsidRPr="001249F2">
        <w:t>субъектов Р</w:t>
      </w:r>
      <w:r w:rsidR="002829B6">
        <w:t>Ф.</w:t>
      </w:r>
      <w:r w:rsidRPr="001249F2">
        <w:t xml:space="preserve"> </w:t>
      </w:r>
      <w:proofErr w:type="gramEnd"/>
    </w:p>
    <w:p w:rsidR="002829B6" w:rsidRDefault="001249F2" w:rsidP="002829B6">
      <w:pPr>
        <w:pStyle w:val="af8"/>
        <w:ind w:firstLine="680"/>
        <w:rPr>
          <w:rFonts w:ascii="Times New Roman" w:hAnsi="Times New Roman"/>
        </w:rPr>
      </w:pPr>
      <w:r w:rsidRPr="002829B6">
        <w:rPr>
          <w:rFonts w:ascii="Times New Roman" w:hAnsi="Times New Roman"/>
        </w:rPr>
        <w:t xml:space="preserve">5. </w:t>
      </w:r>
      <w:proofErr w:type="gramStart"/>
      <w:r w:rsidRPr="002829B6">
        <w:rPr>
          <w:rFonts w:ascii="Times New Roman" w:hAnsi="Times New Roman"/>
        </w:rPr>
        <w:t xml:space="preserve">ГКУ «2 отряд ПС», ГКУ «5 отряд ПС», ГКУ «Комплекс»  и ГКУ «АСС» </w:t>
      </w:r>
      <w:r w:rsidR="002829B6" w:rsidRPr="002829B6">
        <w:rPr>
          <w:rFonts w:ascii="Times New Roman" w:hAnsi="Times New Roman"/>
        </w:rPr>
        <w:t xml:space="preserve">по строке 270 </w:t>
      </w:r>
      <w:r w:rsidRPr="002829B6">
        <w:rPr>
          <w:rFonts w:ascii="Times New Roman" w:hAnsi="Times New Roman"/>
        </w:rPr>
        <w:t>Справк</w:t>
      </w:r>
      <w:r w:rsidR="002829B6" w:rsidRPr="002829B6">
        <w:rPr>
          <w:rFonts w:ascii="Times New Roman" w:hAnsi="Times New Roman"/>
        </w:rPr>
        <w:t>и</w:t>
      </w:r>
      <w:r w:rsidRPr="002829B6">
        <w:rPr>
          <w:rFonts w:ascii="Times New Roman" w:hAnsi="Times New Roman"/>
        </w:rPr>
        <w:t xml:space="preserve"> о наличии имущества на </w:t>
      </w:r>
      <w:proofErr w:type="spellStart"/>
      <w:r w:rsidRPr="002829B6">
        <w:rPr>
          <w:rFonts w:ascii="Times New Roman" w:hAnsi="Times New Roman"/>
        </w:rPr>
        <w:t>забалансовых</w:t>
      </w:r>
      <w:proofErr w:type="spellEnd"/>
      <w:r w:rsidRPr="002829B6">
        <w:rPr>
          <w:rFonts w:ascii="Times New Roman" w:hAnsi="Times New Roman"/>
        </w:rPr>
        <w:t xml:space="preserve"> счетах в составе Баланса ф. 0503130 (далее – Справка в составе Баланса) по счету  27 «Материальные ценности, выданные в личное пользование работникам (сотрудникам)» на конец отчетного года не отражена стоимость форменного обмундирования, специальной одежды и иного имущества, выданного учреждениями</w:t>
      </w:r>
      <w:proofErr w:type="gramEnd"/>
      <w:r w:rsidRPr="002829B6">
        <w:rPr>
          <w:rFonts w:ascii="Times New Roman" w:hAnsi="Times New Roman"/>
        </w:rPr>
        <w:t xml:space="preserve"> в личное пользование работникам для выполнения ими служебных (должностных) обязанностей</w:t>
      </w:r>
      <w:r w:rsidR="002829B6" w:rsidRPr="002829B6">
        <w:rPr>
          <w:rFonts w:ascii="Times New Roman" w:hAnsi="Times New Roman"/>
        </w:rPr>
        <w:t xml:space="preserve"> на общую сумму 1 337,8 тыс. руб.,  </w:t>
      </w:r>
      <w:r w:rsidRPr="002829B6">
        <w:rPr>
          <w:rFonts w:ascii="Times New Roman" w:hAnsi="Times New Roman"/>
        </w:rPr>
        <w:t xml:space="preserve">чем не </w:t>
      </w:r>
      <w:proofErr w:type="gramStart"/>
      <w:r w:rsidRPr="002829B6">
        <w:rPr>
          <w:rFonts w:ascii="Times New Roman" w:hAnsi="Times New Roman"/>
        </w:rPr>
        <w:t>соблюден</w:t>
      </w:r>
      <w:proofErr w:type="gramEnd"/>
      <w:r w:rsidRPr="002829B6">
        <w:rPr>
          <w:rFonts w:ascii="Times New Roman" w:hAnsi="Times New Roman"/>
        </w:rPr>
        <w:t xml:space="preserve"> п. 20 </w:t>
      </w:r>
      <w:r w:rsidRPr="002829B6">
        <w:rPr>
          <w:rFonts w:ascii="Times New Roman" w:hAnsi="Times New Roman"/>
        </w:rPr>
        <w:lastRenderedPageBreak/>
        <w:t xml:space="preserve">Инструкции № 191н. </w:t>
      </w:r>
      <w:r w:rsidR="002829B6">
        <w:rPr>
          <w:rFonts w:ascii="Times New Roman" w:hAnsi="Times New Roman"/>
        </w:rPr>
        <w:t xml:space="preserve">Соответственно названная стоимость не отражена в </w:t>
      </w:r>
      <w:r w:rsidR="002829B6" w:rsidRPr="002829B6">
        <w:rPr>
          <w:rFonts w:ascii="Times New Roman" w:hAnsi="Times New Roman"/>
        </w:rPr>
        <w:t>сводной бюджетной отчетности Комитета</w:t>
      </w:r>
      <w:r w:rsidR="002829B6">
        <w:rPr>
          <w:rFonts w:ascii="Times New Roman" w:hAnsi="Times New Roman"/>
        </w:rPr>
        <w:t>.</w:t>
      </w:r>
    </w:p>
    <w:p w:rsidR="001249F2" w:rsidRDefault="001249F2" w:rsidP="001249F2">
      <w:pPr>
        <w:pStyle w:val="1"/>
        <w:spacing w:before="0" w:after="0"/>
        <w:ind w:firstLine="680"/>
        <w:jc w:val="both"/>
        <w:rPr>
          <w:rFonts w:ascii="Times New Roman" w:hAnsi="Times New Roman"/>
          <w:b w:val="0"/>
          <w:color w:val="auto"/>
          <w:sz w:val="24"/>
          <w:szCs w:val="24"/>
        </w:rPr>
      </w:pPr>
      <w:proofErr w:type="gramStart"/>
      <w:r w:rsidRPr="001249F2">
        <w:rPr>
          <w:rFonts w:ascii="Times New Roman" w:hAnsi="Times New Roman"/>
          <w:b w:val="0"/>
          <w:color w:val="auto"/>
          <w:sz w:val="24"/>
          <w:szCs w:val="24"/>
        </w:rPr>
        <w:t>Указанное нарушение произошло по причине не</w:t>
      </w:r>
      <w:r w:rsidR="003D04ED">
        <w:rPr>
          <w:rFonts w:ascii="Times New Roman" w:hAnsi="Times New Roman"/>
          <w:b w:val="0"/>
          <w:color w:val="auto"/>
          <w:sz w:val="24"/>
          <w:szCs w:val="24"/>
        </w:rPr>
        <w:t xml:space="preserve"> </w:t>
      </w:r>
      <w:r w:rsidRPr="001249F2">
        <w:rPr>
          <w:rFonts w:ascii="Times New Roman" w:hAnsi="Times New Roman"/>
          <w:b w:val="0"/>
          <w:color w:val="auto"/>
          <w:sz w:val="24"/>
          <w:szCs w:val="24"/>
        </w:rPr>
        <w:t xml:space="preserve">ведения названными учреждениями </w:t>
      </w:r>
      <w:proofErr w:type="spellStart"/>
      <w:r w:rsidRPr="001249F2">
        <w:rPr>
          <w:rFonts w:ascii="Times New Roman" w:hAnsi="Times New Roman"/>
          <w:b w:val="0"/>
          <w:color w:val="auto"/>
          <w:sz w:val="24"/>
          <w:szCs w:val="24"/>
        </w:rPr>
        <w:t>забалансового</w:t>
      </w:r>
      <w:proofErr w:type="spellEnd"/>
      <w:r w:rsidRPr="001249F2">
        <w:rPr>
          <w:rFonts w:ascii="Times New Roman" w:hAnsi="Times New Roman"/>
          <w:b w:val="0"/>
          <w:color w:val="auto"/>
          <w:sz w:val="24"/>
          <w:szCs w:val="24"/>
        </w:rPr>
        <w:t xml:space="preserve"> счета 27, чем не соблюден п. 385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w:t>
      </w:r>
      <w:r w:rsidR="002829B6">
        <w:rPr>
          <w:rFonts w:ascii="Times New Roman" w:hAnsi="Times New Roman"/>
          <w:b w:val="0"/>
          <w:color w:val="auto"/>
          <w:sz w:val="24"/>
          <w:szCs w:val="24"/>
        </w:rPr>
        <w:t xml:space="preserve"> </w:t>
      </w:r>
      <w:r w:rsidRPr="001249F2">
        <w:rPr>
          <w:rFonts w:ascii="Times New Roman" w:hAnsi="Times New Roman"/>
          <w:b w:val="0"/>
          <w:color w:val="auto"/>
          <w:sz w:val="24"/>
          <w:szCs w:val="24"/>
        </w:rPr>
        <w:t>157н (далее – Инструкция № 157н).</w:t>
      </w:r>
      <w:proofErr w:type="gramEnd"/>
    </w:p>
    <w:p w:rsidR="006F5C52" w:rsidRDefault="001249F2" w:rsidP="002829B6">
      <w:pPr>
        <w:pStyle w:val="afb"/>
        <w:tabs>
          <w:tab w:val="left" w:pos="0"/>
        </w:tabs>
        <w:ind w:left="0" w:firstLine="851"/>
        <w:jc w:val="both"/>
      </w:pPr>
      <w:r w:rsidRPr="00014A0A">
        <w:t xml:space="preserve">В ходе проверки </w:t>
      </w:r>
      <w:r w:rsidR="006F5C52">
        <w:t>Комитетом на основании представленных исправленных форм отчетности учреждений по выявленному нарушению внесены соответствующие исправления</w:t>
      </w:r>
      <w:r w:rsidR="009C52C5" w:rsidRPr="009C52C5">
        <w:t xml:space="preserve"> </w:t>
      </w:r>
      <w:r w:rsidR="009C52C5">
        <w:t>в сводную отчетность</w:t>
      </w:r>
      <w:r w:rsidR="006F5C52">
        <w:t>, которые приняты комитетом финанс</w:t>
      </w:r>
      <w:r w:rsidR="0002547D">
        <w:t>ов</w:t>
      </w:r>
      <w:r w:rsidR="006F5C52">
        <w:t xml:space="preserve"> Волгоградской области.</w:t>
      </w:r>
    </w:p>
    <w:p w:rsidR="00694EE8" w:rsidRPr="00D2009C" w:rsidRDefault="00C556F1" w:rsidP="00455263">
      <w:pPr>
        <w:pStyle w:val="afb"/>
        <w:autoSpaceDE w:val="0"/>
        <w:autoSpaceDN w:val="0"/>
        <w:adjustRightInd w:val="0"/>
        <w:ind w:left="0" w:firstLine="709"/>
        <w:jc w:val="both"/>
      </w:pPr>
      <w:r>
        <w:t xml:space="preserve">6. </w:t>
      </w:r>
      <w:proofErr w:type="gramStart"/>
      <w:r>
        <w:t xml:space="preserve">В </w:t>
      </w:r>
      <w:r w:rsidR="006622DE">
        <w:t xml:space="preserve">сводных по Комитету Сведениях об исполнении бюджета (ф.0503164) по разделу «Доходы бюджета» не отражены фактические показатели по четырем видам доходов (доходы от возврата </w:t>
      </w:r>
      <w:r w:rsidR="00694EE8" w:rsidRPr="00FF7441">
        <w:t>бюджетными учреждениями остатков субсидий прошлых лет</w:t>
      </w:r>
      <w:r w:rsidR="00694EE8">
        <w:t>,</w:t>
      </w:r>
      <w:r w:rsidR="00694EE8" w:rsidRPr="00694EE8">
        <w:t xml:space="preserve"> </w:t>
      </w:r>
      <w:r w:rsidR="00694EE8" w:rsidRPr="00FF7441">
        <w:t>остатков субсидий, субвенций и иных межбюджетных трансфертов, имеющих целевое назначение, прошлых лет из бюджетов городских округов</w:t>
      </w:r>
      <w:r w:rsidR="00694EE8">
        <w:t xml:space="preserve"> и бюджетов муниципальных районов,  </w:t>
      </w:r>
      <w:r w:rsidR="006622DE">
        <w:t xml:space="preserve">возврат остатков </w:t>
      </w:r>
      <w:r w:rsidR="00694EE8" w:rsidRPr="00FF7441">
        <w:t>субсидий, субвенций и иных межбюджетных трансфертов, имеющих</w:t>
      </w:r>
      <w:proofErr w:type="gramEnd"/>
      <w:r w:rsidR="00694EE8" w:rsidRPr="00FF7441">
        <w:t xml:space="preserve"> целевое назначение, прошлых лет </w:t>
      </w:r>
      <w:r w:rsidR="00694EE8" w:rsidRPr="00D2009C">
        <w:t>из бюджетов субъектов</w:t>
      </w:r>
      <w:r w:rsidR="006622DE" w:rsidRPr="00D2009C">
        <w:t xml:space="preserve">) в размере 90,0 тыс. руб., 6564,2 тыс. руб., 3216,3 тыс. руб.,  (-) 10685,3 тыс. руб. при отсутствии прогнозных назначений </w:t>
      </w:r>
      <w:r w:rsidR="009B727D" w:rsidRPr="00D2009C">
        <w:t>по ним, чем не соблюден п.163 Инструкции 191н.</w:t>
      </w:r>
      <w:r w:rsidRPr="00D2009C">
        <w:t xml:space="preserve"> </w:t>
      </w:r>
      <w:r w:rsidR="006622DE" w:rsidRPr="00D2009C">
        <w:t>Согласно пояснениям Комитета ф.0503164 формир</w:t>
      </w:r>
      <w:r w:rsidR="00164CB4" w:rsidRPr="00D2009C">
        <w:t>овалась</w:t>
      </w:r>
      <w:r w:rsidR="006622DE" w:rsidRPr="00D2009C">
        <w:t xml:space="preserve"> в программе «БАРС» автоматически, не учитывая положения п. 163 Инструкции 191н.</w:t>
      </w:r>
      <w:r w:rsidR="00455263" w:rsidRPr="00D2009C">
        <w:rPr>
          <w:color w:val="632423" w:themeColor="accent2" w:themeShade="80"/>
        </w:rPr>
        <w:t xml:space="preserve"> </w:t>
      </w:r>
    </w:p>
    <w:p w:rsidR="00DC59C7" w:rsidRPr="00DC59C7" w:rsidRDefault="005A0593" w:rsidP="00DC59C7">
      <w:pPr>
        <w:autoSpaceDE w:val="0"/>
        <w:autoSpaceDN w:val="0"/>
        <w:adjustRightInd w:val="0"/>
        <w:ind w:firstLine="680"/>
        <w:jc w:val="both"/>
      </w:pPr>
      <w:r w:rsidRPr="00D2009C">
        <w:t xml:space="preserve">7. </w:t>
      </w:r>
      <w:proofErr w:type="gramStart"/>
      <w:r w:rsidRPr="00D2009C">
        <w:t>Графа 4 «Утвержденные бюджетные назначения</w:t>
      </w:r>
      <w:r>
        <w:t>» сводного Отчета об исполнении бюджета (</w:t>
      </w:r>
      <w:r w:rsidRPr="00FC4D8C">
        <w:t>ф.0503127</w:t>
      </w:r>
      <w:r>
        <w:t>)</w:t>
      </w:r>
      <w:r w:rsidRPr="005A0593">
        <w:t xml:space="preserve"> </w:t>
      </w:r>
      <w:r w:rsidR="00DC59C7">
        <w:t xml:space="preserve">заполнена </w:t>
      </w:r>
      <w:r w:rsidRPr="0099024D">
        <w:t xml:space="preserve">в отсутствие данных </w:t>
      </w:r>
      <w:r>
        <w:t xml:space="preserve">на </w:t>
      </w:r>
      <w:r w:rsidRPr="0099024D">
        <w:t xml:space="preserve">соответствующих счетах </w:t>
      </w:r>
      <w:r w:rsidRPr="00DC59C7">
        <w:t>аналитического учета счета 0 504 00 000 «Сметные (плановые, прогнозные) назначения»,</w:t>
      </w:r>
      <w:r w:rsidR="00DC59C7" w:rsidRPr="00DC59C7">
        <w:t xml:space="preserve"> чем не соблюден </w:t>
      </w:r>
      <w:r w:rsidR="000B740A">
        <w:t xml:space="preserve">п. 150 </w:t>
      </w:r>
      <w:r w:rsidR="000B740A" w:rsidRPr="00FC4D8C">
        <w:t xml:space="preserve">Инструкции по применению Плана счетов бюджетного учета, утвержденной </w:t>
      </w:r>
      <w:r w:rsidR="00CF54AB">
        <w:t>п</w:t>
      </w:r>
      <w:r w:rsidR="000B740A" w:rsidRPr="00FC4D8C">
        <w:t>риказом Минфина РФ от 06.12.2010 №162н (далее – Инструкция №162н)</w:t>
      </w:r>
      <w:r w:rsidR="000B740A">
        <w:t>,</w:t>
      </w:r>
      <w:r w:rsidR="000B740A" w:rsidRPr="00FC4D8C">
        <w:t xml:space="preserve"> </w:t>
      </w:r>
      <w:r w:rsidR="00352682" w:rsidRPr="00DC59C7">
        <w:t xml:space="preserve">п.55 Инструкции №191н </w:t>
      </w:r>
      <w:r w:rsidR="00352682">
        <w:t xml:space="preserve">и </w:t>
      </w:r>
      <w:r w:rsidR="00DC59C7" w:rsidRPr="00DC59C7">
        <w:t>п.1 ст</w:t>
      </w:r>
      <w:proofErr w:type="gramEnd"/>
      <w:r w:rsidR="00DC59C7" w:rsidRPr="00DC59C7">
        <w:t>.13 Федерального закона от 06.12.2011 № 402-ФЗ «О бухгалтерском учете» (далее - Закон о бухгалтерском учете), согласно которому бухгалтерская (финансовая) отчетность должна составляться на основе данных, содержащихся в регистрах бухгалтерского учета</w:t>
      </w:r>
      <w:r w:rsidR="00352682">
        <w:t>.</w:t>
      </w:r>
      <w:r w:rsidR="00DC59C7" w:rsidRPr="00DC59C7">
        <w:t xml:space="preserve"> </w:t>
      </w:r>
      <w:r w:rsidR="00352682">
        <w:t xml:space="preserve">По пояснению </w:t>
      </w:r>
      <w:r w:rsidR="00DC59C7" w:rsidRPr="00DC59C7">
        <w:t>Комитет</w:t>
      </w:r>
      <w:r w:rsidR="00352682">
        <w:t>а</w:t>
      </w:r>
      <w:r w:rsidR="00DC59C7" w:rsidRPr="00DC59C7">
        <w:t xml:space="preserve"> счет 0 504 00 000 для учета плановых (прогнозных) назначений по доходам в 2015 году не </w:t>
      </w:r>
      <w:r w:rsidR="00352682">
        <w:t>использовался</w:t>
      </w:r>
      <w:r w:rsidR="00DC59C7" w:rsidRPr="00DC59C7">
        <w:t xml:space="preserve"> в связи с отсутствием технической возможности - бухгалтерских проводок в программе «1С</w:t>
      </w:r>
      <w:proofErr w:type="gramStart"/>
      <w:r w:rsidR="00DC59C7" w:rsidRPr="00DC59C7">
        <w:t>:Б</w:t>
      </w:r>
      <w:proofErr w:type="gramEnd"/>
      <w:r w:rsidR="00DC59C7" w:rsidRPr="00DC59C7">
        <w:t>ухгалтерия».</w:t>
      </w:r>
    </w:p>
    <w:p w:rsidR="00D2009C" w:rsidRDefault="00905C8A" w:rsidP="00CF54AB">
      <w:pPr>
        <w:autoSpaceDE w:val="0"/>
        <w:autoSpaceDN w:val="0"/>
        <w:adjustRightInd w:val="0"/>
        <w:ind w:firstLine="709"/>
        <w:jc w:val="both"/>
      </w:pPr>
      <w:r>
        <w:t xml:space="preserve">8. </w:t>
      </w:r>
      <w:r w:rsidRPr="00905C8A">
        <w:t xml:space="preserve">Неправильное ведение аналитического учета </w:t>
      </w:r>
      <w:r w:rsidR="00CF54AB">
        <w:t>Комитетом</w:t>
      </w:r>
      <w:r w:rsidRPr="00905C8A">
        <w:t>, ГКУ «</w:t>
      </w:r>
      <w:proofErr w:type="spellStart"/>
      <w:r w:rsidRPr="00905C8A">
        <w:t>ЦУиС</w:t>
      </w:r>
      <w:proofErr w:type="spellEnd"/>
      <w:r w:rsidRPr="00905C8A">
        <w:t xml:space="preserve">» </w:t>
      </w:r>
      <w:r w:rsidR="00B410C0">
        <w:t xml:space="preserve">и </w:t>
      </w:r>
      <w:r w:rsidRPr="00905C8A">
        <w:t xml:space="preserve">ГБОУ «УМЦ» по </w:t>
      </w:r>
      <w:proofErr w:type="spellStart"/>
      <w:r w:rsidRPr="00905C8A">
        <w:t>забалансовым</w:t>
      </w:r>
      <w:proofErr w:type="spellEnd"/>
      <w:r w:rsidRPr="00905C8A">
        <w:t xml:space="preserve"> счетам 17 «Поступления денежных средств на счета учреждения»</w:t>
      </w:r>
      <w:r>
        <w:t xml:space="preserve"> </w:t>
      </w:r>
      <w:r w:rsidRPr="00905C8A">
        <w:t>и 18 «Выбытия денежных средств со счетов учреждения»</w:t>
      </w:r>
      <w:r w:rsidR="00D2009C">
        <w:t xml:space="preserve"> в нарушение п.п. 365 и 367 </w:t>
      </w:r>
      <w:r w:rsidR="00D2009C" w:rsidRPr="0033779B">
        <w:t>Инструкции №157-н</w:t>
      </w:r>
      <w:r w:rsidR="00D2009C">
        <w:t>. Указанное нарушение привело к несоблюдению п. 20 Инструкции № 191н</w:t>
      </w:r>
      <w:r w:rsidR="00CF54AB">
        <w:t>,</w:t>
      </w:r>
      <w:r w:rsidR="00B36021">
        <w:t xml:space="preserve"> п. 21 Инструкции № 33н </w:t>
      </w:r>
      <w:r w:rsidR="00D2009C">
        <w:t>и искажению следующих строк консолидированн</w:t>
      </w:r>
      <w:r w:rsidR="009940AD">
        <w:t>ых Справок</w:t>
      </w:r>
      <w:r w:rsidR="00D2009C" w:rsidRPr="00BF74FF">
        <w:t xml:space="preserve"> в составе Баланса</w:t>
      </w:r>
      <w:r w:rsidR="00D2009C">
        <w:t xml:space="preserve"> </w:t>
      </w:r>
      <w:r w:rsidR="00C10DAC">
        <w:t xml:space="preserve">по ф. 0503130 </w:t>
      </w:r>
      <w:r w:rsidR="00D2009C">
        <w:t>(с учетом отчетности</w:t>
      </w:r>
      <w:r w:rsidR="00CF54AB">
        <w:t xml:space="preserve"> Комитета</w:t>
      </w:r>
      <w:r w:rsidR="00D2009C">
        <w:t xml:space="preserve"> и </w:t>
      </w:r>
      <w:r w:rsidR="00D2009C" w:rsidRPr="00BF74FF">
        <w:t>ГКУ «</w:t>
      </w:r>
      <w:proofErr w:type="spellStart"/>
      <w:r w:rsidR="00D2009C" w:rsidRPr="00BF74FF">
        <w:t>ЦУиС</w:t>
      </w:r>
      <w:proofErr w:type="spellEnd"/>
      <w:r w:rsidR="00D2009C" w:rsidRPr="00BF74FF">
        <w:t>»</w:t>
      </w:r>
      <w:r w:rsidR="00D2009C">
        <w:t xml:space="preserve">) </w:t>
      </w:r>
      <w:r w:rsidR="00B36021">
        <w:t xml:space="preserve">и по </w:t>
      </w:r>
      <w:r w:rsidR="00C10DAC">
        <w:t xml:space="preserve">ф. 0503730 </w:t>
      </w:r>
      <w:r w:rsidR="00197DB1">
        <w:t xml:space="preserve">(с учетом </w:t>
      </w:r>
      <w:r w:rsidR="00B36021" w:rsidRPr="005079AA">
        <w:t>ГБОУ «УМЦ»</w:t>
      </w:r>
      <w:r w:rsidR="00197DB1">
        <w:t>)</w:t>
      </w:r>
      <w:r w:rsidR="00B36021">
        <w:t xml:space="preserve"> </w:t>
      </w:r>
      <w:r w:rsidR="00D2009C">
        <w:t xml:space="preserve">по </w:t>
      </w:r>
      <w:proofErr w:type="spellStart"/>
      <w:r w:rsidR="00D2009C">
        <w:t>забалансовым</w:t>
      </w:r>
      <w:proofErr w:type="spellEnd"/>
      <w:r w:rsidR="00D2009C">
        <w:t xml:space="preserve"> счетам 17 и 18</w:t>
      </w:r>
      <w:r w:rsidR="009940AD">
        <w:t>, а именно</w:t>
      </w:r>
      <w:r w:rsidR="00D2009C">
        <w:t>:</w:t>
      </w:r>
    </w:p>
    <w:p w:rsidR="00B36021" w:rsidRPr="00B36021" w:rsidRDefault="00B36021" w:rsidP="00D2009C">
      <w:pPr>
        <w:ind w:firstLine="709"/>
        <w:jc w:val="both"/>
        <w:rPr>
          <w:u w:val="single"/>
        </w:rPr>
      </w:pPr>
      <w:r w:rsidRPr="00B36021">
        <w:rPr>
          <w:u w:val="single"/>
        </w:rPr>
        <w:t>консолидированной отчетности</w:t>
      </w:r>
      <w:r>
        <w:rPr>
          <w:u w:val="single"/>
        </w:rPr>
        <w:t xml:space="preserve"> по Инструкции № 191н</w:t>
      </w:r>
    </w:p>
    <w:p w:rsidR="00D2009C" w:rsidRPr="00012B9B" w:rsidRDefault="00D2009C" w:rsidP="00176CA0">
      <w:pPr>
        <w:ind w:firstLine="680"/>
        <w:jc w:val="both"/>
      </w:pPr>
      <w:r w:rsidRPr="00012B9B">
        <w:t>-строки 170 «Поступления денежных средств на счета учреждения, всего</w:t>
      </w:r>
      <w:r w:rsidR="00B36021" w:rsidRPr="00012B9B">
        <w:t xml:space="preserve">», </w:t>
      </w:r>
      <w:r w:rsidR="00C74616" w:rsidRPr="00012B9B">
        <w:t xml:space="preserve">на </w:t>
      </w:r>
      <w:r w:rsidRPr="00012B9B">
        <w:t>323 993,61 руб.;</w:t>
      </w:r>
    </w:p>
    <w:p w:rsidR="00D2009C" w:rsidRPr="00012B9B" w:rsidRDefault="00D2009C" w:rsidP="00176CA0">
      <w:pPr>
        <w:ind w:firstLine="680"/>
        <w:jc w:val="both"/>
      </w:pPr>
      <w:r w:rsidRPr="00012B9B">
        <w:t>-строк</w:t>
      </w:r>
      <w:r w:rsidR="00B36021" w:rsidRPr="00012B9B">
        <w:t>и</w:t>
      </w:r>
      <w:r w:rsidRPr="00012B9B">
        <w:t xml:space="preserve"> 172</w:t>
      </w:r>
      <w:r w:rsidR="00B36021" w:rsidRPr="00012B9B">
        <w:t xml:space="preserve"> «в том числе расходы»</w:t>
      </w:r>
      <w:r w:rsidRPr="00012B9B">
        <w:t xml:space="preserve"> – на 1 019 106,0 руб.;</w:t>
      </w:r>
    </w:p>
    <w:p w:rsidR="00D2009C" w:rsidRPr="00012B9B" w:rsidRDefault="00D2009C" w:rsidP="00176CA0">
      <w:pPr>
        <w:ind w:firstLine="680"/>
        <w:jc w:val="both"/>
      </w:pPr>
      <w:r w:rsidRPr="00012B9B">
        <w:t>-строка 173</w:t>
      </w:r>
      <w:r w:rsidR="00B36021" w:rsidRPr="00012B9B">
        <w:t xml:space="preserve"> «в том числе источники финансирования дефицита бюджета» </w:t>
      </w:r>
      <w:r w:rsidR="00176CA0" w:rsidRPr="00012B9B">
        <w:t>– на              (-</w:t>
      </w:r>
      <w:r w:rsidRPr="00012B9B">
        <w:t>)</w:t>
      </w:r>
      <w:r w:rsidR="00176CA0" w:rsidRPr="00012B9B">
        <w:t> </w:t>
      </w:r>
      <w:r w:rsidRPr="00012B9B">
        <w:t>695 112,39 руб.;</w:t>
      </w:r>
    </w:p>
    <w:p w:rsidR="00B36021" w:rsidRPr="00012B9B" w:rsidRDefault="00B36021" w:rsidP="00176CA0">
      <w:pPr>
        <w:autoSpaceDE w:val="0"/>
        <w:autoSpaceDN w:val="0"/>
        <w:adjustRightInd w:val="0"/>
        <w:ind w:firstLine="680"/>
        <w:jc w:val="both"/>
      </w:pPr>
      <w:r w:rsidRPr="00012B9B">
        <w:t>- строки 180 «Выбытия денежных средств со счетов учреждения, всего» - на 207 246,0 руб</w:t>
      </w:r>
      <w:r w:rsidR="007B0284" w:rsidRPr="00012B9B">
        <w:t>.;</w:t>
      </w:r>
    </w:p>
    <w:p w:rsidR="00D2009C" w:rsidRPr="00012B9B" w:rsidRDefault="00D2009C" w:rsidP="00176CA0">
      <w:pPr>
        <w:ind w:firstLine="680"/>
        <w:jc w:val="both"/>
      </w:pPr>
      <w:r w:rsidRPr="00012B9B">
        <w:t xml:space="preserve">-строка 181 </w:t>
      </w:r>
      <w:r w:rsidR="00B36021" w:rsidRPr="00012B9B">
        <w:t>«в том числе</w:t>
      </w:r>
      <w:r w:rsidR="007B0284" w:rsidRPr="00012B9B">
        <w:t>:</w:t>
      </w:r>
      <w:r w:rsidR="00B36021" w:rsidRPr="00012B9B">
        <w:t xml:space="preserve"> расходы» </w:t>
      </w:r>
      <w:r w:rsidRPr="00012B9B">
        <w:t>– на 138 212,0 руб.;</w:t>
      </w:r>
    </w:p>
    <w:p w:rsidR="00D2009C" w:rsidRPr="007B0284" w:rsidRDefault="00D2009C" w:rsidP="00176CA0">
      <w:pPr>
        <w:ind w:firstLine="680"/>
        <w:jc w:val="both"/>
      </w:pPr>
      <w:r w:rsidRPr="00012B9B">
        <w:lastRenderedPageBreak/>
        <w:t xml:space="preserve">-строка 182 </w:t>
      </w:r>
      <w:r w:rsidR="007B0284" w:rsidRPr="00012B9B">
        <w:t>«</w:t>
      </w:r>
      <w:r w:rsidR="00B36021" w:rsidRPr="00012B9B">
        <w:t>в том числе</w:t>
      </w:r>
      <w:r w:rsidR="007B0284" w:rsidRPr="00012B9B">
        <w:t>:</w:t>
      </w:r>
      <w:r w:rsidR="00B36021" w:rsidRPr="00012B9B">
        <w:t xml:space="preserve"> источники финансирования дефицита бюджета» </w:t>
      </w:r>
      <w:r w:rsidRPr="00012B9B">
        <w:t>– на 69 034,0 рубля.</w:t>
      </w:r>
      <w:r w:rsidRPr="007B0284">
        <w:t xml:space="preserve"> </w:t>
      </w:r>
    </w:p>
    <w:p w:rsidR="00B36021" w:rsidRPr="007B0284" w:rsidRDefault="00B36021" w:rsidP="007B0284">
      <w:pPr>
        <w:ind w:firstLine="680"/>
        <w:jc w:val="both"/>
        <w:rPr>
          <w:u w:val="single"/>
        </w:rPr>
      </w:pPr>
      <w:r w:rsidRPr="007B0284">
        <w:rPr>
          <w:u w:val="single"/>
        </w:rPr>
        <w:t>консолидированной отчетности по Инструкции № 33н</w:t>
      </w:r>
    </w:p>
    <w:p w:rsidR="00D2009C" w:rsidRPr="007B0284" w:rsidRDefault="00D2009C" w:rsidP="007B0284">
      <w:pPr>
        <w:ind w:firstLine="680"/>
        <w:jc w:val="both"/>
      </w:pPr>
      <w:r w:rsidRPr="007B0284">
        <w:t>Аналогичное нарушение ГБОУ «УМЦ» привело к искажению следующих строк Справки в составе Баланса в нарушение п.21 Инструкции №33н:</w:t>
      </w:r>
    </w:p>
    <w:p w:rsidR="00D2009C" w:rsidRPr="007B0284" w:rsidRDefault="00D2009C" w:rsidP="007B0284">
      <w:pPr>
        <w:pStyle w:val="af"/>
        <w:ind w:firstLine="680"/>
        <w:jc w:val="both"/>
        <w:rPr>
          <w:rFonts w:ascii="Times New Roman" w:hAnsi="Times New Roman" w:cs="Times New Roman"/>
          <w:sz w:val="24"/>
          <w:szCs w:val="24"/>
        </w:rPr>
      </w:pPr>
      <w:r w:rsidRPr="007B0284">
        <w:rPr>
          <w:rFonts w:ascii="Times New Roman" w:hAnsi="Times New Roman" w:cs="Times New Roman"/>
          <w:sz w:val="24"/>
          <w:szCs w:val="24"/>
        </w:rPr>
        <w:t xml:space="preserve">-строка 170 </w:t>
      </w:r>
      <w:r w:rsidR="007B0284" w:rsidRPr="007B0284">
        <w:rPr>
          <w:rFonts w:ascii="Times New Roman" w:hAnsi="Times New Roman" w:cs="Times New Roman"/>
          <w:sz w:val="24"/>
          <w:szCs w:val="24"/>
        </w:rPr>
        <w:t>«</w:t>
      </w:r>
      <w:r w:rsidR="007B0284" w:rsidRPr="007B0284">
        <w:rPr>
          <w:rFonts w:ascii="Times New Roman" w:eastAsia="Times New Roman" w:hAnsi="Times New Roman" w:cs="Times New Roman"/>
          <w:sz w:val="24"/>
          <w:szCs w:val="24"/>
          <w:lang w:eastAsia="ru-RU"/>
        </w:rPr>
        <w:t xml:space="preserve">Поступления денежных средств на счета учреждения, всего» </w:t>
      </w:r>
      <w:r w:rsidRPr="007B0284">
        <w:rPr>
          <w:rFonts w:ascii="Times New Roman" w:hAnsi="Times New Roman" w:cs="Times New Roman"/>
          <w:sz w:val="24"/>
          <w:szCs w:val="24"/>
        </w:rPr>
        <w:t>– на 68 427,64 руб.;</w:t>
      </w:r>
    </w:p>
    <w:p w:rsidR="00D2009C" w:rsidRPr="007B0284" w:rsidRDefault="00D2009C" w:rsidP="007B0284">
      <w:pPr>
        <w:ind w:firstLine="680"/>
        <w:jc w:val="both"/>
      </w:pPr>
      <w:r w:rsidRPr="007B0284">
        <w:t>-строка 171</w:t>
      </w:r>
      <w:r w:rsidR="007B0284" w:rsidRPr="007B0284">
        <w:t xml:space="preserve"> «в том числе: доходы»</w:t>
      </w:r>
      <w:r w:rsidRPr="007B0284">
        <w:t xml:space="preserve"> - на 68 427,64 руб.;</w:t>
      </w:r>
    </w:p>
    <w:p w:rsidR="00D2009C" w:rsidRPr="007B0284" w:rsidRDefault="00D2009C" w:rsidP="007B0284">
      <w:pPr>
        <w:pStyle w:val="af"/>
        <w:ind w:firstLine="680"/>
        <w:jc w:val="both"/>
        <w:rPr>
          <w:rFonts w:ascii="Times New Roman" w:hAnsi="Times New Roman" w:cs="Times New Roman"/>
          <w:sz w:val="24"/>
          <w:szCs w:val="24"/>
        </w:rPr>
      </w:pPr>
      <w:r w:rsidRPr="007B0284">
        <w:rPr>
          <w:rFonts w:ascii="Times New Roman" w:hAnsi="Times New Roman" w:cs="Times New Roman"/>
          <w:sz w:val="24"/>
          <w:szCs w:val="24"/>
        </w:rPr>
        <w:t xml:space="preserve">-строка 180 </w:t>
      </w:r>
      <w:r w:rsidR="007B0284" w:rsidRPr="007B0284">
        <w:rPr>
          <w:rFonts w:ascii="Times New Roman" w:hAnsi="Times New Roman" w:cs="Times New Roman"/>
          <w:sz w:val="24"/>
          <w:szCs w:val="24"/>
        </w:rPr>
        <w:t>«</w:t>
      </w:r>
      <w:r w:rsidR="007B0284" w:rsidRPr="007B0284">
        <w:rPr>
          <w:rFonts w:ascii="Times New Roman" w:eastAsia="Times New Roman" w:hAnsi="Times New Roman" w:cs="Times New Roman"/>
          <w:sz w:val="24"/>
          <w:szCs w:val="24"/>
          <w:lang w:eastAsia="ru-RU"/>
        </w:rPr>
        <w:t xml:space="preserve">Выбытия денежных средств со счетов учреждения, всего» </w:t>
      </w:r>
      <w:r w:rsidRPr="007B0284">
        <w:rPr>
          <w:rFonts w:ascii="Times New Roman" w:hAnsi="Times New Roman" w:cs="Times New Roman"/>
          <w:sz w:val="24"/>
          <w:szCs w:val="24"/>
        </w:rPr>
        <w:t>– на 60 941,52 руб.;</w:t>
      </w:r>
    </w:p>
    <w:p w:rsidR="00D2009C" w:rsidRPr="007B0284" w:rsidRDefault="00D2009C" w:rsidP="007B0284">
      <w:pPr>
        <w:autoSpaceDE w:val="0"/>
        <w:autoSpaceDN w:val="0"/>
        <w:adjustRightInd w:val="0"/>
        <w:ind w:firstLine="680"/>
        <w:jc w:val="both"/>
      </w:pPr>
      <w:r w:rsidRPr="007B0284">
        <w:t xml:space="preserve">-строка 181 </w:t>
      </w:r>
      <w:r w:rsidR="007B0284" w:rsidRPr="007B0284">
        <w:t>«в том числе: расходы»</w:t>
      </w:r>
      <w:r w:rsidRPr="007B0284">
        <w:t xml:space="preserve">– на 60 941,52 рубля. </w:t>
      </w:r>
    </w:p>
    <w:p w:rsidR="00391A3B" w:rsidRPr="00776881" w:rsidRDefault="00391A3B" w:rsidP="00391A3B">
      <w:pPr>
        <w:autoSpaceDE w:val="0"/>
        <w:autoSpaceDN w:val="0"/>
        <w:adjustRightInd w:val="0"/>
        <w:ind w:firstLine="720"/>
        <w:jc w:val="both"/>
      </w:pPr>
      <w:r w:rsidRPr="00776881">
        <w:t>В ходе проверки Комитетом по выявленным нарушениям внесены в отчетность соответствующие исправления, которые приняты комитетом финансов Волгоградской области.</w:t>
      </w:r>
    </w:p>
    <w:p w:rsidR="00AE0E4F" w:rsidRPr="00AE0E4F" w:rsidRDefault="00AE0E4F" w:rsidP="00AE0E4F">
      <w:pPr>
        <w:autoSpaceDE w:val="0"/>
        <w:autoSpaceDN w:val="0"/>
        <w:adjustRightInd w:val="0"/>
        <w:ind w:firstLine="680"/>
        <w:jc w:val="center"/>
        <w:rPr>
          <w:bCs/>
        </w:rPr>
      </w:pPr>
      <w:r w:rsidRPr="00AE0E4F">
        <w:rPr>
          <w:b/>
        </w:rPr>
        <w:t>Исполнение плановых назначений по закрепленным доходам</w:t>
      </w:r>
    </w:p>
    <w:p w:rsidR="00440CAD" w:rsidRPr="00C40155" w:rsidRDefault="00AE0E4F" w:rsidP="00063068">
      <w:pPr>
        <w:pStyle w:val="1"/>
        <w:spacing w:before="0" w:after="0"/>
        <w:ind w:firstLine="680"/>
        <w:jc w:val="both"/>
        <w:rPr>
          <w:rFonts w:ascii="Times New Roman" w:hAnsi="Times New Roman"/>
          <w:b w:val="0"/>
          <w:color w:val="auto"/>
          <w:sz w:val="24"/>
          <w:szCs w:val="24"/>
        </w:rPr>
      </w:pPr>
      <w:r w:rsidRPr="004410A2">
        <w:rPr>
          <w:rFonts w:ascii="Times New Roman" w:eastAsia="Calibri" w:hAnsi="Times New Roman"/>
          <w:b w:val="0"/>
          <w:bCs w:val="0"/>
          <w:color w:val="auto"/>
          <w:sz w:val="24"/>
          <w:szCs w:val="24"/>
        </w:rPr>
        <w:t xml:space="preserve">Плановые назначения по закрепленным за Комитетом </w:t>
      </w:r>
      <w:r w:rsidR="00DB22F2">
        <w:rPr>
          <w:rFonts w:ascii="Times New Roman" w:eastAsia="Calibri" w:hAnsi="Times New Roman"/>
          <w:b w:val="0"/>
          <w:bCs w:val="0"/>
          <w:color w:val="auto"/>
          <w:sz w:val="24"/>
          <w:szCs w:val="24"/>
        </w:rPr>
        <w:t xml:space="preserve">10-ти видам </w:t>
      </w:r>
      <w:r w:rsidRPr="004410A2">
        <w:rPr>
          <w:rFonts w:ascii="Times New Roman" w:eastAsia="Calibri" w:hAnsi="Times New Roman"/>
          <w:b w:val="0"/>
          <w:bCs w:val="0"/>
          <w:color w:val="auto"/>
          <w:sz w:val="24"/>
          <w:szCs w:val="24"/>
        </w:rPr>
        <w:t>доход</w:t>
      </w:r>
      <w:r w:rsidR="00DB22F2">
        <w:rPr>
          <w:rFonts w:ascii="Times New Roman" w:eastAsia="Calibri" w:hAnsi="Times New Roman"/>
          <w:b w:val="0"/>
          <w:bCs w:val="0"/>
          <w:color w:val="auto"/>
          <w:sz w:val="24"/>
          <w:szCs w:val="24"/>
        </w:rPr>
        <w:t>ов</w:t>
      </w:r>
      <w:r w:rsidRPr="004410A2">
        <w:rPr>
          <w:rFonts w:ascii="Times New Roman" w:eastAsia="Calibri" w:hAnsi="Times New Roman"/>
          <w:b w:val="0"/>
          <w:bCs w:val="0"/>
          <w:color w:val="auto"/>
          <w:sz w:val="24"/>
          <w:szCs w:val="24"/>
        </w:rPr>
        <w:t xml:space="preserve"> выполнены в сумме </w:t>
      </w:r>
      <w:r w:rsidRPr="004410A2">
        <w:rPr>
          <w:rFonts w:ascii="Times New Roman" w:hAnsi="Times New Roman"/>
          <w:b w:val="0"/>
          <w:color w:val="auto"/>
          <w:sz w:val="24"/>
          <w:szCs w:val="24"/>
        </w:rPr>
        <w:t>271 305,2 тыс. руб., или на 119,1</w:t>
      </w:r>
      <w:r w:rsidR="00213C9D">
        <w:rPr>
          <w:rFonts w:ascii="Times New Roman" w:hAnsi="Times New Roman"/>
          <w:b w:val="0"/>
          <w:color w:val="auto"/>
          <w:sz w:val="24"/>
          <w:szCs w:val="24"/>
        </w:rPr>
        <w:t xml:space="preserve">% от утвержденных бюджетных </w:t>
      </w:r>
      <w:r w:rsidR="00213C9D" w:rsidRPr="00C40155">
        <w:rPr>
          <w:rFonts w:ascii="Times New Roman" w:hAnsi="Times New Roman"/>
          <w:b w:val="0"/>
          <w:color w:val="auto"/>
          <w:sz w:val="24"/>
          <w:szCs w:val="24"/>
        </w:rPr>
        <w:t>назначений (227 845,5</w:t>
      </w:r>
      <w:r w:rsidR="00063068" w:rsidRPr="00C40155">
        <w:rPr>
          <w:rFonts w:ascii="Times New Roman" w:hAnsi="Times New Roman"/>
          <w:b w:val="0"/>
          <w:color w:val="auto"/>
          <w:sz w:val="24"/>
          <w:szCs w:val="24"/>
        </w:rPr>
        <w:t xml:space="preserve"> </w:t>
      </w:r>
      <w:r w:rsidR="00213C9D" w:rsidRPr="00C40155">
        <w:rPr>
          <w:rFonts w:ascii="Times New Roman" w:hAnsi="Times New Roman"/>
          <w:b w:val="0"/>
          <w:color w:val="auto"/>
          <w:sz w:val="24"/>
          <w:szCs w:val="24"/>
        </w:rPr>
        <w:t xml:space="preserve"> тыс. руб.).</w:t>
      </w:r>
    </w:p>
    <w:p w:rsidR="00440CAD" w:rsidRPr="00F179C0" w:rsidRDefault="00DB22F2" w:rsidP="00F179C0">
      <w:pPr>
        <w:pStyle w:val="1"/>
        <w:spacing w:before="0" w:after="0"/>
        <w:ind w:firstLine="680"/>
        <w:jc w:val="both"/>
        <w:rPr>
          <w:rFonts w:ascii="Times New Roman" w:hAnsi="Times New Roman"/>
          <w:b w:val="0"/>
          <w:color w:val="auto"/>
          <w:sz w:val="24"/>
          <w:szCs w:val="24"/>
        </w:rPr>
      </w:pPr>
      <w:r w:rsidRPr="00063068">
        <w:rPr>
          <w:rFonts w:ascii="Times New Roman" w:hAnsi="Times New Roman"/>
          <w:b w:val="0"/>
          <w:color w:val="auto"/>
          <w:sz w:val="24"/>
          <w:szCs w:val="24"/>
        </w:rPr>
        <w:t xml:space="preserve">Наибольшую </w:t>
      </w:r>
      <w:r w:rsidR="003E4955" w:rsidRPr="00063068">
        <w:rPr>
          <w:rFonts w:ascii="Times New Roman" w:hAnsi="Times New Roman"/>
          <w:b w:val="0"/>
          <w:color w:val="auto"/>
          <w:sz w:val="24"/>
          <w:szCs w:val="24"/>
        </w:rPr>
        <w:t xml:space="preserve">долю </w:t>
      </w:r>
      <w:r w:rsidR="00B82CAA" w:rsidRPr="00063068">
        <w:rPr>
          <w:rFonts w:ascii="Times New Roman" w:hAnsi="Times New Roman"/>
          <w:b w:val="0"/>
          <w:color w:val="auto"/>
          <w:sz w:val="24"/>
          <w:szCs w:val="24"/>
        </w:rPr>
        <w:t xml:space="preserve">(89,7%) </w:t>
      </w:r>
      <w:r w:rsidR="003E4955" w:rsidRPr="00063068">
        <w:rPr>
          <w:rFonts w:ascii="Times New Roman" w:hAnsi="Times New Roman"/>
          <w:b w:val="0"/>
          <w:color w:val="auto"/>
          <w:sz w:val="24"/>
          <w:szCs w:val="24"/>
        </w:rPr>
        <w:t>в</w:t>
      </w:r>
      <w:r w:rsidRPr="00063068">
        <w:rPr>
          <w:rFonts w:ascii="Times New Roman" w:hAnsi="Times New Roman"/>
          <w:b w:val="0"/>
          <w:color w:val="auto"/>
          <w:sz w:val="24"/>
          <w:szCs w:val="24"/>
        </w:rPr>
        <w:t xml:space="preserve"> общей сумме доходов </w:t>
      </w:r>
      <w:r w:rsidR="00440CAD">
        <w:rPr>
          <w:rFonts w:ascii="Times New Roman" w:hAnsi="Times New Roman"/>
          <w:b w:val="0"/>
          <w:color w:val="auto"/>
          <w:sz w:val="24"/>
          <w:szCs w:val="24"/>
        </w:rPr>
        <w:t>занимают</w:t>
      </w:r>
      <w:r w:rsidRPr="00063068">
        <w:rPr>
          <w:rFonts w:ascii="Times New Roman" w:hAnsi="Times New Roman"/>
          <w:b w:val="0"/>
          <w:color w:val="auto"/>
          <w:sz w:val="24"/>
          <w:szCs w:val="24"/>
        </w:rPr>
        <w:t xml:space="preserve"> </w:t>
      </w:r>
      <w:r w:rsidRPr="00063068">
        <w:rPr>
          <w:rFonts w:ascii="Times New Roman" w:eastAsia="Calibri" w:hAnsi="Times New Roman"/>
          <w:b w:val="0"/>
          <w:color w:val="auto"/>
          <w:sz w:val="24"/>
          <w:szCs w:val="24"/>
        </w:rPr>
        <w:t xml:space="preserve">межбюджетные трансферты, передаваемые </w:t>
      </w:r>
      <w:r w:rsidR="00F179C0">
        <w:rPr>
          <w:rFonts w:ascii="Times New Roman" w:eastAsia="Calibri" w:hAnsi="Times New Roman"/>
          <w:b w:val="0"/>
          <w:color w:val="auto"/>
          <w:sz w:val="24"/>
          <w:szCs w:val="24"/>
        </w:rPr>
        <w:t xml:space="preserve">из федерального бюджета </w:t>
      </w:r>
      <w:r w:rsidR="003E4955" w:rsidRPr="00063068">
        <w:rPr>
          <w:rFonts w:ascii="Times New Roman" w:hAnsi="Times New Roman"/>
          <w:b w:val="0"/>
          <w:color w:val="auto"/>
          <w:sz w:val="24"/>
          <w:szCs w:val="24"/>
        </w:rPr>
        <w:t xml:space="preserve">согласно постановлению Правительства РФ от 26.12.2014 № 1502 </w:t>
      </w:r>
      <w:r w:rsidRPr="00063068">
        <w:rPr>
          <w:rFonts w:ascii="Times New Roman" w:eastAsia="Calibri" w:hAnsi="Times New Roman"/>
          <w:b w:val="0"/>
          <w:color w:val="auto"/>
          <w:sz w:val="24"/>
          <w:szCs w:val="24"/>
        </w:rPr>
        <w:t xml:space="preserve">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w:t>
      </w:r>
      <w:r w:rsidR="003E4955" w:rsidRPr="00063068">
        <w:rPr>
          <w:rFonts w:ascii="Times New Roman" w:eastAsia="Calibri" w:hAnsi="Times New Roman"/>
          <w:b w:val="0"/>
          <w:color w:val="auto"/>
          <w:sz w:val="24"/>
          <w:szCs w:val="24"/>
        </w:rPr>
        <w:t xml:space="preserve">которые поступили в размере </w:t>
      </w:r>
      <w:r w:rsidR="003E4955" w:rsidRPr="00063068">
        <w:rPr>
          <w:rFonts w:ascii="Times New Roman" w:hAnsi="Times New Roman"/>
          <w:b w:val="0"/>
          <w:color w:val="auto"/>
          <w:sz w:val="24"/>
          <w:szCs w:val="24"/>
        </w:rPr>
        <w:t xml:space="preserve">243 462,7 тыс. </w:t>
      </w:r>
      <w:r w:rsidR="003E4955" w:rsidRPr="00F179C0">
        <w:rPr>
          <w:rFonts w:ascii="Times New Roman" w:hAnsi="Times New Roman"/>
          <w:b w:val="0"/>
          <w:color w:val="auto"/>
          <w:sz w:val="24"/>
          <w:szCs w:val="24"/>
        </w:rPr>
        <w:t>рублей.</w:t>
      </w:r>
      <w:r w:rsidR="00440CAD" w:rsidRPr="00F179C0">
        <w:rPr>
          <w:rFonts w:ascii="Times New Roman" w:hAnsi="Times New Roman"/>
          <w:b w:val="0"/>
          <w:color w:val="auto"/>
          <w:sz w:val="24"/>
          <w:szCs w:val="24"/>
        </w:rPr>
        <w:t xml:space="preserve"> По указанному виду доходов сложилось перевыполнение прогнозного назначения на 44 422,2 тыс. руб. (+22,3%)</w:t>
      </w:r>
      <w:r w:rsidR="00D3426E" w:rsidRPr="00F179C0">
        <w:rPr>
          <w:rFonts w:ascii="Times New Roman" w:hAnsi="Times New Roman"/>
          <w:b w:val="0"/>
          <w:color w:val="auto"/>
          <w:sz w:val="24"/>
          <w:szCs w:val="24"/>
        </w:rPr>
        <w:t>, что связано с поступлением межбюджетных трансфертов в конце 2015 года</w:t>
      </w:r>
      <w:r w:rsidR="00440CAD" w:rsidRPr="00F179C0">
        <w:rPr>
          <w:rFonts w:ascii="Times New Roman" w:hAnsi="Times New Roman"/>
          <w:b w:val="0"/>
          <w:color w:val="auto"/>
          <w:sz w:val="24"/>
          <w:szCs w:val="24"/>
        </w:rPr>
        <w:t>.</w:t>
      </w:r>
    </w:p>
    <w:p w:rsidR="003E4955" w:rsidRDefault="003E4955" w:rsidP="003E4955">
      <w:pPr>
        <w:ind w:firstLine="680"/>
        <w:jc w:val="both"/>
      </w:pPr>
      <w:r w:rsidRPr="00F179C0">
        <w:t>Неисполнение плановых назначений</w:t>
      </w:r>
      <w:r>
        <w:t xml:space="preserve"> </w:t>
      </w:r>
      <w:r w:rsidR="00B82CAA">
        <w:t>(</w:t>
      </w:r>
      <w:r w:rsidRPr="00BF7306">
        <w:t>более 5%</w:t>
      </w:r>
      <w:r w:rsidR="00B82CAA">
        <w:t>)</w:t>
      </w:r>
      <w:r w:rsidRPr="00BF7306">
        <w:t xml:space="preserve"> образовалось</w:t>
      </w:r>
      <w:r>
        <w:t xml:space="preserve"> по двум видам </w:t>
      </w:r>
      <w:proofErr w:type="spellStart"/>
      <w:r>
        <w:t>администрируемых</w:t>
      </w:r>
      <w:proofErr w:type="spellEnd"/>
      <w:r>
        <w:t xml:space="preserve"> доходов:</w:t>
      </w:r>
    </w:p>
    <w:p w:rsidR="003E4955" w:rsidRDefault="003E4955" w:rsidP="003E4955">
      <w:pPr>
        <w:ind w:firstLine="680"/>
        <w:jc w:val="both"/>
      </w:pPr>
      <w:r w:rsidRPr="00531F8B">
        <w:t>-</w:t>
      </w:r>
      <w:r>
        <w:t xml:space="preserve"> </w:t>
      </w:r>
      <w:r w:rsidRPr="00531F8B">
        <w:t>прочи</w:t>
      </w:r>
      <w:r w:rsidR="00B264C5">
        <w:t>м</w:t>
      </w:r>
      <w:r w:rsidRPr="00531F8B">
        <w:t xml:space="preserve"> доход</w:t>
      </w:r>
      <w:r w:rsidR="00B264C5">
        <w:t>ам</w:t>
      </w:r>
      <w:r w:rsidRPr="00531F8B">
        <w:t xml:space="preserve"> от оказания платных услуг (работ) получателями средств бюджетов субъектов РФ</w:t>
      </w:r>
      <w:r>
        <w:t xml:space="preserve"> в сумме 115,3 тыс. руб. (</w:t>
      </w:r>
      <w:r w:rsidR="00B82CAA">
        <w:t xml:space="preserve">исполнение составило </w:t>
      </w:r>
      <w:r>
        <w:t>19,4%) – в связи с долговременной процедурой взыскания задолженности службой судебных приставов по платным услугам (чистка дна пляжа);</w:t>
      </w:r>
    </w:p>
    <w:p w:rsidR="003E4955" w:rsidRDefault="003E4955" w:rsidP="003E4955">
      <w:pPr>
        <w:ind w:firstLine="680"/>
        <w:jc w:val="both"/>
      </w:pPr>
      <w:r w:rsidRPr="00903838">
        <w:t>-</w:t>
      </w:r>
      <w:r>
        <w:t xml:space="preserve"> </w:t>
      </w:r>
      <w:r w:rsidRPr="00903838">
        <w:t>доход</w:t>
      </w:r>
      <w:r w:rsidR="00B264C5">
        <w:t>ам</w:t>
      </w:r>
      <w:r w:rsidRPr="00903838">
        <w:t>, поступающи</w:t>
      </w:r>
      <w:r w:rsidR="00B264C5">
        <w:t>м</w:t>
      </w:r>
      <w:r w:rsidRPr="00903838">
        <w:t xml:space="preserve"> в порядке возмещения расходов, понесенных в связи с эксплуатацией имущества субъекта</w:t>
      </w:r>
      <w:r>
        <w:t xml:space="preserve">, в сумме 29,6 тыс. руб. (81,7%) – в связи с </w:t>
      </w:r>
      <w:r w:rsidRPr="00F77A85">
        <w:t>несвоевременным возмещением затрат</w:t>
      </w:r>
      <w:r>
        <w:t xml:space="preserve"> по коммунальным услугам.</w:t>
      </w:r>
    </w:p>
    <w:p w:rsidR="003E4955" w:rsidRDefault="003E4955" w:rsidP="00DB22F2">
      <w:pPr>
        <w:ind w:firstLine="709"/>
        <w:jc w:val="both"/>
        <w:rPr>
          <w:rFonts w:eastAsia="Calibri"/>
          <w:color w:val="76923C" w:themeColor="accent3" w:themeShade="BF"/>
        </w:rPr>
      </w:pPr>
    </w:p>
    <w:p w:rsidR="00D6614B" w:rsidRPr="00296C54" w:rsidRDefault="00D6614B" w:rsidP="00D6614B">
      <w:pPr>
        <w:autoSpaceDE w:val="0"/>
        <w:autoSpaceDN w:val="0"/>
        <w:adjustRightInd w:val="0"/>
        <w:jc w:val="center"/>
        <w:rPr>
          <w:b/>
        </w:rPr>
      </w:pPr>
      <w:r w:rsidRPr="00296C54">
        <w:rPr>
          <w:b/>
        </w:rPr>
        <w:t>Исполнение  расходов</w:t>
      </w:r>
    </w:p>
    <w:p w:rsidR="001C35AE" w:rsidRPr="00296C54" w:rsidRDefault="004B6D5C" w:rsidP="004B6D5C">
      <w:pPr>
        <w:ind w:firstLine="709"/>
        <w:jc w:val="both"/>
        <w:rPr>
          <w:bCs/>
        </w:rPr>
      </w:pPr>
      <w:r w:rsidRPr="00296C54">
        <w:rPr>
          <w:bCs/>
        </w:rPr>
        <w:t xml:space="preserve">Законом об областном бюджете Комитету предусмотрены бюджетные ассигнования в размере 720 731,1 тыс. рублей.  </w:t>
      </w:r>
    </w:p>
    <w:p w:rsidR="001C35AE" w:rsidRPr="001C35AE" w:rsidRDefault="004B6D5C" w:rsidP="001C35AE">
      <w:pPr>
        <w:ind w:firstLine="709"/>
        <w:jc w:val="both"/>
      </w:pPr>
      <w:proofErr w:type="gramStart"/>
      <w:r w:rsidRPr="00296C54">
        <w:rPr>
          <w:bCs/>
        </w:rPr>
        <w:t xml:space="preserve">Согласно Отчету об исполнении бюджета (ф. 0503127) утвержденные бюджетные назначения по расходам составляют 791 511,2  тыс. руб., или </w:t>
      </w:r>
      <w:r w:rsidR="001C35AE">
        <w:rPr>
          <w:bCs/>
        </w:rPr>
        <w:t xml:space="preserve">на </w:t>
      </w:r>
      <w:r w:rsidR="001C35AE" w:rsidRPr="00296C54">
        <w:rPr>
          <w:bCs/>
        </w:rPr>
        <w:t>70 780,1 тыс. руб</w:t>
      </w:r>
      <w:r w:rsidR="001C35AE">
        <w:rPr>
          <w:bCs/>
        </w:rPr>
        <w:t>.</w:t>
      </w:r>
      <w:r w:rsidRPr="00296C54">
        <w:rPr>
          <w:bCs/>
        </w:rPr>
        <w:t xml:space="preserve"> </w:t>
      </w:r>
      <w:r w:rsidRPr="001C35AE">
        <w:rPr>
          <w:bCs/>
        </w:rPr>
        <w:t>больше бюджетных ассигнований, предусмотренных Законом об областном бюджете, на</w:t>
      </w:r>
      <w:r w:rsidR="001C35AE" w:rsidRPr="001C35AE">
        <w:rPr>
          <w:bCs/>
        </w:rPr>
        <w:t xml:space="preserve"> что </w:t>
      </w:r>
      <w:r w:rsidR="002A6C7D">
        <w:rPr>
          <w:bCs/>
        </w:rPr>
        <w:t xml:space="preserve">в основном </w:t>
      </w:r>
      <w:r w:rsidR="001C35AE" w:rsidRPr="001C35AE">
        <w:rPr>
          <w:bCs/>
        </w:rPr>
        <w:t>повлияло</w:t>
      </w:r>
      <w:r w:rsidR="001C35AE" w:rsidRPr="001C35AE">
        <w:t xml:space="preserve"> поступление </w:t>
      </w:r>
      <w:r w:rsidR="001C35AE" w:rsidRPr="00967D6C">
        <w:t>средств федерального бюджета на финансовое обеспечение мероприятий по социально-бытовому обустройству лиц, вынужденно покинувших территорию Украины</w:t>
      </w:r>
      <w:r w:rsidR="00967D6C" w:rsidRPr="00967D6C">
        <w:t>, в размере 75 396,6 тыс. руб.</w:t>
      </w:r>
      <w:r w:rsidR="001C35AE" w:rsidRPr="00967D6C">
        <w:t xml:space="preserve"> в декабре</w:t>
      </w:r>
      <w:proofErr w:type="gramEnd"/>
      <w:r w:rsidR="001C35AE" w:rsidRPr="00967D6C">
        <w:t xml:space="preserve"> 2015 года.</w:t>
      </w:r>
    </w:p>
    <w:p w:rsidR="003D4B3A" w:rsidRDefault="006F051F" w:rsidP="006F051F">
      <w:pPr>
        <w:pStyle w:val="af"/>
        <w:ind w:firstLine="680"/>
        <w:jc w:val="both"/>
        <w:rPr>
          <w:sz w:val="24"/>
          <w:szCs w:val="24"/>
        </w:rPr>
      </w:pPr>
      <w:r w:rsidRPr="006F051F">
        <w:rPr>
          <w:rFonts w:ascii="Times New Roman" w:hAnsi="Times New Roman" w:cs="Times New Roman"/>
          <w:sz w:val="24"/>
          <w:szCs w:val="24"/>
        </w:rPr>
        <w:t xml:space="preserve">Расходы областного бюджета, утвержденные Комитету, исполнены в сумме 746 906,6 тыс. руб., что составляет 94,4% от объема утвержденных бюджетных назначений и 94,5% от лимитов бюджетных обязательств. Информация об исполнении расходов представлена в таблице. </w:t>
      </w:r>
      <w:r w:rsidRPr="006F051F">
        <w:rPr>
          <w:sz w:val="24"/>
          <w:szCs w:val="24"/>
        </w:rPr>
        <w:t xml:space="preserve">                         </w:t>
      </w:r>
    </w:p>
    <w:p w:rsidR="00666492" w:rsidRDefault="006F051F" w:rsidP="006F051F">
      <w:pPr>
        <w:pStyle w:val="af"/>
        <w:ind w:firstLine="680"/>
        <w:jc w:val="both"/>
        <w:rPr>
          <w:sz w:val="24"/>
          <w:szCs w:val="24"/>
        </w:rPr>
      </w:pPr>
      <w:r w:rsidRPr="006F051F">
        <w:rPr>
          <w:sz w:val="24"/>
          <w:szCs w:val="24"/>
        </w:rPr>
        <w:t xml:space="preserve">                                                 </w:t>
      </w:r>
    </w:p>
    <w:p w:rsidR="006F051F" w:rsidRPr="006F051F" w:rsidRDefault="006F051F" w:rsidP="006F051F">
      <w:pPr>
        <w:pStyle w:val="af"/>
        <w:ind w:firstLine="680"/>
        <w:jc w:val="both"/>
        <w:rPr>
          <w:rFonts w:ascii="Times New Roman" w:hAnsi="Times New Roman" w:cs="Times New Roman"/>
          <w:sz w:val="24"/>
          <w:szCs w:val="24"/>
        </w:rPr>
      </w:pPr>
      <w:r w:rsidRPr="006F051F">
        <w:rPr>
          <w:sz w:val="24"/>
          <w:szCs w:val="24"/>
        </w:rPr>
        <w:t xml:space="preserve">                                                                                                                                                          </w:t>
      </w:r>
      <w:r w:rsidRPr="006F051F">
        <w:rPr>
          <w:rFonts w:ascii="Times New Roman" w:hAnsi="Times New Roman" w:cs="Times New Roman"/>
          <w:sz w:val="24"/>
          <w:szCs w:val="24"/>
        </w:rPr>
        <w:t xml:space="preserve"> </w:t>
      </w:r>
    </w:p>
    <w:p w:rsidR="003D4B3A" w:rsidRDefault="003D4B3A" w:rsidP="006F051F">
      <w:pPr>
        <w:tabs>
          <w:tab w:val="left" w:pos="0"/>
        </w:tabs>
        <w:ind w:right="-82"/>
        <w:jc w:val="right"/>
        <w:rPr>
          <w:i/>
          <w:sz w:val="20"/>
          <w:szCs w:val="20"/>
        </w:rPr>
      </w:pPr>
    </w:p>
    <w:p w:rsidR="006F051F" w:rsidRPr="004559C1" w:rsidRDefault="006F051F" w:rsidP="006F051F">
      <w:pPr>
        <w:tabs>
          <w:tab w:val="left" w:pos="0"/>
        </w:tabs>
        <w:ind w:right="-82"/>
        <w:jc w:val="right"/>
        <w:rPr>
          <w:i/>
          <w:sz w:val="20"/>
          <w:szCs w:val="20"/>
        </w:rPr>
      </w:pPr>
      <w:r w:rsidRPr="004559C1">
        <w:rPr>
          <w:i/>
          <w:sz w:val="20"/>
          <w:szCs w:val="20"/>
        </w:rPr>
        <w:lastRenderedPageBreak/>
        <w:t>тыс. руб.</w:t>
      </w:r>
    </w:p>
    <w:tbl>
      <w:tblPr>
        <w:tblW w:w="10632" w:type="dxa"/>
        <w:tblInd w:w="-318" w:type="dxa"/>
        <w:tblLayout w:type="fixed"/>
        <w:tblLook w:val="04A0"/>
      </w:tblPr>
      <w:tblGrid>
        <w:gridCol w:w="710"/>
        <w:gridCol w:w="3685"/>
        <w:gridCol w:w="1134"/>
        <w:gridCol w:w="993"/>
        <w:gridCol w:w="1134"/>
        <w:gridCol w:w="992"/>
        <w:gridCol w:w="1134"/>
        <w:gridCol w:w="850"/>
      </w:tblGrid>
      <w:tr w:rsidR="00966C6E" w:rsidRPr="004559C1" w:rsidTr="00F82113">
        <w:trPr>
          <w:trHeight w:val="575"/>
        </w:trPr>
        <w:tc>
          <w:tcPr>
            <w:tcW w:w="710" w:type="dxa"/>
            <w:vMerge w:val="restart"/>
            <w:tcBorders>
              <w:top w:val="double" w:sz="4" w:space="0" w:color="auto"/>
              <w:left w:val="double" w:sz="4" w:space="0" w:color="auto"/>
              <w:right w:val="single" w:sz="4" w:space="0" w:color="auto"/>
            </w:tcBorders>
            <w:shd w:val="clear" w:color="000000" w:fill="EAF1DD" w:themeFill="accent3" w:themeFillTint="33"/>
            <w:vAlign w:val="center"/>
          </w:tcPr>
          <w:p w:rsidR="00966C6E" w:rsidRPr="004559C1" w:rsidRDefault="00966C6E" w:rsidP="001737FC">
            <w:pPr>
              <w:ind w:left="-113" w:right="-113"/>
              <w:jc w:val="center"/>
              <w:rPr>
                <w:sz w:val="18"/>
                <w:szCs w:val="18"/>
              </w:rPr>
            </w:pPr>
            <w:r w:rsidRPr="004559C1">
              <w:rPr>
                <w:sz w:val="18"/>
                <w:szCs w:val="18"/>
              </w:rPr>
              <w:t>КБК</w:t>
            </w:r>
          </w:p>
        </w:tc>
        <w:tc>
          <w:tcPr>
            <w:tcW w:w="3685" w:type="dxa"/>
            <w:vMerge w:val="restart"/>
            <w:tcBorders>
              <w:top w:val="double" w:sz="4" w:space="0" w:color="auto"/>
              <w:left w:val="single" w:sz="8" w:space="0" w:color="auto"/>
              <w:right w:val="single" w:sz="4" w:space="0" w:color="auto"/>
            </w:tcBorders>
            <w:shd w:val="clear" w:color="000000" w:fill="EAF1DD" w:themeFill="accent3" w:themeFillTint="33"/>
            <w:vAlign w:val="center"/>
            <w:hideMark/>
          </w:tcPr>
          <w:p w:rsidR="00966C6E" w:rsidRPr="004559C1" w:rsidRDefault="00966C6E" w:rsidP="001737FC">
            <w:pPr>
              <w:jc w:val="center"/>
              <w:rPr>
                <w:sz w:val="18"/>
                <w:szCs w:val="18"/>
              </w:rPr>
            </w:pPr>
            <w:r w:rsidRPr="004559C1">
              <w:rPr>
                <w:sz w:val="18"/>
                <w:szCs w:val="18"/>
              </w:rPr>
              <w:t>Наименование показателя</w:t>
            </w:r>
          </w:p>
        </w:tc>
        <w:tc>
          <w:tcPr>
            <w:tcW w:w="2127" w:type="dxa"/>
            <w:gridSpan w:val="2"/>
            <w:tcBorders>
              <w:top w:val="double" w:sz="4" w:space="0" w:color="auto"/>
              <w:left w:val="single" w:sz="4" w:space="0" w:color="auto"/>
              <w:bottom w:val="single" w:sz="4" w:space="0" w:color="auto"/>
              <w:right w:val="single" w:sz="4" w:space="0" w:color="auto"/>
            </w:tcBorders>
            <w:shd w:val="clear" w:color="000000" w:fill="EAF1DD" w:themeFill="accent3" w:themeFillTint="33"/>
            <w:vAlign w:val="center"/>
          </w:tcPr>
          <w:p w:rsidR="00966C6E" w:rsidRPr="004559C1" w:rsidRDefault="00966C6E" w:rsidP="00966C6E">
            <w:pPr>
              <w:jc w:val="center"/>
              <w:rPr>
                <w:sz w:val="18"/>
                <w:szCs w:val="18"/>
              </w:rPr>
            </w:pPr>
            <w:r>
              <w:rPr>
                <w:sz w:val="18"/>
                <w:szCs w:val="18"/>
              </w:rPr>
              <w:t>Утвержденные бюджетные ассигнования</w:t>
            </w:r>
          </w:p>
        </w:tc>
        <w:tc>
          <w:tcPr>
            <w:tcW w:w="1134" w:type="dxa"/>
            <w:vMerge w:val="restart"/>
            <w:tcBorders>
              <w:top w:val="double" w:sz="4" w:space="0" w:color="auto"/>
              <w:left w:val="single" w:sz="4" w:space="0" w:color="auto"/>
              <w:right w:val="single" w:sz="4" w:space="0" w:color="auto"/>
            </w:tcBorders>
            <w:shd w:val="clear" w:color="000000" w:fill="EAF1DD" w:themeFill="accent3" w:themeFillTint="33"/>
            <w:vAlign w:val="center"/>
            <w:hideMark/>
          </w:tcPr>
          <w:p w:rsidR="00966C6E" w:rsidRPr="004559C1" w:rsidRDefault="00966C6E" w:rsidP="001737FC">
            <w:pPr>
              <w:ind w:left="-108" w:right="-108"/>
              <w:jc w:val="center"/>
              <w:rPr>
                <w:sz w:val="18"/>
                <w:szCs w:val="18"/>
              </w:rPr>
            </w:pPr>
            <w:r w:rsidRPr="004559C1">
              <w:rPr>
                <w:sz w:val="18"/>
                <w:szCs w:val="18"/>
              </w:rPr>
              <w:t>Лимиты бюджетных обязательств</w:t>
            </w:r>
          </w:p>
        </w:tc>
        <w:tc>
          <w:tcPr>
            <w:tcW w:w="992" w:type="dxa"/>
            <w:vMerge w:val="restart"/>
            <w:tcBorders>
              <w:top w:val="double" w:sz="4" w:space="0" w:color="auto"/>
              <w:left w:val="single" w:sz="4" w:space="0" w:color="auto"/>
              <w:right w:val="single" w:sz="4" w:space="0" w:color="auto"/>
            </w:tcBorders>
            <w:shd w:val="clear" w:color="000000" w:fill="EAF1DD" w:themeFill="accent3" w:themeFillTint="33"/>
            <w:noWrap/>
            <w:vAlign w:val="center"/>
            <w:hideMark/>
          </w:tcPr>
          <w:p w:rsidR="00966C6E" w:rsidRPr="004559C1" w:rsidRDefault="00966C6E" w:rsidP="001737FC">
            <w:pPr>
              <w:ind w:left="-57" w:right="-57"/>
              <w:jc w:val="center"/>
              <w:rPr>
                <w:sz w:val="18"/>
                <w:szCs w:val="18"/>
              </w:rPr>
            </w:pPr>
            <w:r w:rsidRPr="004559C1">
              <w:rPr>
                <w:sz w:val="18"/>
                <w:szCs w:val="18"/>
              </w:rPr>
              <w:t>Исполнено</w:t>
            </w:r>
          </w:p>
        </w:tc>
        <w:tc>
          <w:tcPr>
            <w:tcW w:w="1134" w:type="dxa"/>
            <w:vMerge w:val="restart"/>
            <w:tcBorders>
              <w:top w:val="double" w:sz="4" w:space="0" w:color="auto"/>
              <w:left w:val="single" w:sz="4" w:space="0" w:color="auto"/>
              <w:right w:val="single" w:sz="4" w:space="0" w:color="auto"/>
            </w:tcBorders>
            <w:shd w:val="clear" w:color="000000" w:fill="EAF1DD" w:themeFill="accent3" w:themeFillTint="33"/>
            <w:vAlign w:val="center"/>
            <w:hideMark/>
          </w:tcPr>
          <w:p w:rsidR="00966C6E" w:rsidRPr="004559C1" w:rsidRDefault="00966C6E" w:rsidP="001737FC">
            <w:pPr>
              <w:ind w:left="-57" w:right="-57"/>
              <w:jc w:val="center"/>
              <w:rPr>
                <w:sz w:val="18"/>
                <w:szCs w:val="18"/>
              </w:rPr>
            </w:pPr>
            <w:r w:rsidRPr="004559C1">
              <w:rPr>
                <w:sz w:val="18"/>
                <w:szCs w:val="18"/>
              </w:rPr>
              <w:t>Не исполнено</w:t>
            </w:r>
            <w:r>
              <w:rPr>
                <w:sz w:val="18"/>
                <w:szCs w:val="18"/>
              </w:rPr>
              <w:t xml:space="preserve"> бюджет</w:t>
            </w:r>
            <w:proofErr w:type="gramStart"/>
            <w:r>
              <w:rPr>
                <w:sz w:val="18"/>
                <w:szCs w:val="18"/>
              </w:rPr>
              <w:t>.</w:t>
            </w:r>
            <w:proofErr w:type="gramEnd"/>
            <w:r>
              <w:rPr>
                <w:sz w:val="18"/>
                <w:szCs w:val="18"/>
              </w:rPr>
              <w:t xml:space="preserve"> </w:t>
            </w:r>
            <w:proofErr w:type="gramStart"/>
            <w:r>
              <w:rPr>
                <w:sz w:val="18"/>
                <w:szCs w:val="18"/>
              </w:rPr>
              <w:t>н</w:t>
            </w:r>
            <w:proofErr w:type="gramEnd"/>
            <w:r>
              <w:rPr>
                <w:sz w:val="18"/>
                <w:szCs w:val="18"/>
              </w:rPr>
              <w:t>азначений по бюджетной росписи</w:t>
            </w:r>
          </w:p>
        </w:tc>
        <w:tc>
          <w:tcPr>
            <w:tcW w:w="850" w:type="dxa"/>
            <w:vMerge w:val="restart"/>
            <w:tcBorders>
              <w:top w:val="double" w:sz="4" w:space="0" w:color="auto"/>
              <w:left w:val="nil"/>
              <w:right w:val="double" w:sz="4" w:space="0" w:color="auto"/>
            </w:tcBorders>
            <w:shd w:val="clear" w:color="000000" w:fill="EAF1DD" w:themeFill="accent3" w:themeFillTint="33"/>
            <w:vAlign w:val="center"/>
            <w:hideMark/>
          </w:tcPr>
          <w:p w:rsidR="00966C6E" w:rsidRPr="004559C1" w:rsidRDefault="00966C6E" w:rsidP="001737FC">
            <w:pPr>
              <w:ind w:left="-57" w:right="-57"/>
              <w:jc w:val="center"/>
              <w:rPr>
                <w:sz w:val="18"/>
                <w:szCs w:val="18"/>
              </w:rPr>
            </w:pPr>
            <w:r w:rsidRPr="004559C1">
              <w:rPr>
                <w:sz w:val="18"/>
                <w:szCs w:val="18"/>
              </w:rPr>
              <w:t xml:space="preserve">% </w:t>
            </w:r>
            <w:proofErr w:type="spellStart"/>
            <w:proofErr w:type="gramStart"/>
            <w:r w:rsidRPr="004559C1">
              <w:rPr>
                <w:sz w:val="18"/>
                <w:szCs w:val="18"/>
              </w:rPr>
              <w:t>исполне</w:t>
            </w:r>
            <w:r>
              <w:rPr>
                <w:sz w:val="18"/>
                <w:szCs w:val="18"/>
              </w:rPr>
              <w:t>-</w:t>
            </w:r>
            <w:r w:rsidRPr="004559C1">
              <w:rPr>
                <w:sz w:val="18"/>
                <w:szCs w:val="18"/>
              </w:rPr>
              <w:t>ния</w:t>
            </w:r>
            <w:proofErr w:type="spellEnd"/>
            <w:proofErr w:type="gramEnd"/>
          </w:p>
        </w:tc>
      </w:tr>
      <w:tr w:rsidR="00966C6E" w:rsidRPr="004559C1" w:rsidTr="00F82113">
        <w:trPr>
          <w:trHeight w:val="335"/>
        </w:trPr>
        <w:tc>
          <w:tcPr>
            <w:tcW w:w="710" w:type="dxa"/>
            <w:vMerge/>
            <w:tcBorders>
              <w:left w:val="double" w:sz="4" w:space="0" w:color="auto"/>
              <w:bottom w:val="double" w:sz="4" w:space="0" w:color="auto"/>
              <w:right w:val="single" w:sz="4" w:space="0" w:color="auto"/>
            </w:tcBorders>
            <w:shd w:val="clear" w:color="000000" w:fill="EAF1DD"/>
            <w:vAlign w:val="center"/>
          </w:tcPr>
          <w:p w:rsidR="00966C6E" w:rsidRPr="004559C1" w:rsidRDefault="00966C6E" w:rsidP="001737FC">
            <w:pPr>
              <w:ind w:left="-113" w:right="-113"/>
              <w:jc w:val="center"/>
              <w:rPr>
                <w:sz w:val="18"/>
                <w:szCs w:val="18"/>
              </w:rPr>
            </w:pPr>
          </w:p>
        </w:tc>
        <w:tc>
          <w:tcPr>
            <w:tcW w:w="3685" w:type="dxa"/>
            <w:vMerge/>
            <w:tcBorders>
              <w:left w:val="single" w:sz="8" w:space="0" w:color="auto"/>
              <w:bottom w:val="double" w:sz="4" w:space="0" w:color="auto"/>
              <w:right w:val="single" w:sz="4" w:space="0" w:color="auto"/>
            </w:tcBorders>
            <w:shd w:val="clear" w:color="000000" w:fill="EAF1DD"/>
            <w:vAlign w:val="center"/>
            <w:hideMark/>
          </w:tcPr>
          <w:p w:rsidR="00966C6E" w:rsidRPr="004559C1" w:rsidRDefault="00966C6E" w:rsidP="001737FC">
            <w:pPr>
              <w:jc w:val="center"/>
              <w:rPr>
                <w:sz w:val="18"/>
                <w:szCs w:val="18"/>
              </w:rPr>
            </w:pPr>
          </w:p>
        </w:tc>
        <w:tc>
          <w:tcPr>
            <w:tcW w:w="1134" w:type="dxa"/>
            <w:tcBorders>
              <w:top w:val="single" w:sz="4" w:space="0" w:color="auto"/>
              <w:left w:val="single" w:sz="4" w:space="0" w:color="auto"/>
              <w:bottom w:val="double" w:sz="4" w:space="0" w:color="auto"/>
              <w:right w:val="single" w:sz="4" w:space="0" w:color="auto"/>
            </w:tcBorders>
            <w:shd w:val="clear" w:color="000000" w:fill="EAF1DD" w:themeFill="accent3" w:themeFillTint="33"/>
            <w:vAlign w:val="center"/>
          </w:tcPr>
          <w:p w:rsidR="00966C6E" w:rsidRDefault="00966C6E" w:rsidP="00586CE2">
            <w:pPr>
              <w:jc w:val="center"/>
              <w:rPr>
                <w:sz w:val="18"/>
                <w:szCs w:val="18"/>
              </w:rPr>
            </w:pPr>
            <w:r>
              <w:rPr>
                <w:sz w:val="18"/>
                <w:szCs w:val="18"/>
              </w:rPr>
              <w:t xml:space="preserve">Законом об областном бюджете </w:t>
            </w:r>
          </w:p>
        </w:tc>
        <w:tc>
          <w:tcPr>
            <w:tcW w:w="993" w:type="dxa"/>
            <w:tcBorders>
              <w:top w:val="single" w:sz="4" w:space="0" w:color="auto"/>
              <w:left w:val="single" w:sz="4" w:space="0" w:color="auto"/>
              <w:bottom w:val="double" w:sz="4" w:space="0" w:color="auto"/>
              <w:right w:val="single" w:sz="4" w:space="0" w:color="auto"/>
            </w:tcBorders>
            <w:shd w:val="clear" w:color="000000" w:fill="EAF1DD" w:themeFill="accent3" w:themeFillTint="33"/>
            <w:vAlign w:val="center"/>
            <w:hideMark/>
          </w:tcPr>
          <w:p w:rsidR="00966C6E" w:rsidRPr="004559C1" w:rsidRDefault="00966C6E" w:rsidP="00966C6E">
            <w:pPr>
              <w:ind w:left="-108" w:right="-108"/>
              <w:jc w:val="center"/>
              <w:rPr>
                <w:sz w:val="18"/>
                <w:szCs w:val="18"/>
              </w:rPr>
            </w:pPr>
            <w:r>
              <w:rPr>
                <w:sz w:val="18"/>
                <w:szCs w:val="18"/>
              </w:rPr>
              <w:t>Бюджетной росписью</w:t>
            </w:r>
          </w:p>
        </w:tc>
        <w:tc>
          <w:tcPr>
            <w:tcW w:w="1134" w:type="dxa"/>
            <w:vMerge/>
            <w:tcBorders>
              <w:left w:val="single" w:sz="4" w:space="0" w:color="auto"/>
              <w:bottom w:val="double" w:sz="4" w:space="0" w:color="auto"/>
              <w:right w:val="single" w:sz="4" w:space="0" w:color="auto"/>
            </w:tcBorders>
            <w:shd w:val="clear" w:color="000000" w:fill="EAF1DD"/>
            <w:vAlign w:val="center"/>
            <w:hideMark/>
          </w:tcPr>
          <w:p w:rsidR="00966C6E" w:rsidRPr="004559C1" w:rsidRDefault="00966C6E" w:rsidP="001737FC">
            <w:pPr>
              <w:ind w:left="-108" w:right="-108"/>
              <w:jc w:val="center"/>
              <w:rPr>
                <w:sz w:val="18"/>
                <w:szCs w:val="18"/>
              </w:rPr>
            </w:pPr>
          </w:p>
        </w:tc>
        <w:tc>
          <w:tcPr>
            <w:tcW w:w="992" w:type="dxa"/>
            <w:vMerge/>
            <w:tcBorders>
              <w:left w:val="single" w:sz="4" w:space="0" w:color="auto"/>
              <w:bottom w:val="double" w:sz="4" w:space="0" w:color="auto"/>
              <w:right w:val="single" w:sz="4" w:space="0" w:color="auto"/>
            </w:tcBorders>
            <w:shd w:val="clear" w:color="000000" w:fill="EAF1DD"/>
            <w:noWrap/>
            <w:vAlign w:val="center"/>
            <w:hideMark/>
          </w:tcPr>
          <w:p w:rsidR="00966C6E" w:rsidRPr="004559C1" w:rsidRDefault="00966C6E" w:rsidP="001737FC">
            <w:pPr>
              <w:ind w:left="-57" w:right="-57"/>
              <w:jc w:val="center"/>
              <w:rPr>
                <w:sz w:val="18"/>
                <w:szCs w:val="18"/>
              </w:rPr>
            </w:pPr>
          </w:p>
        </w:tc>
        <w:tc>
          <w:tcPr>
            <w:tcW w:w="1134" w:type="dxa"/>
            <w:vMerge/>
            <w:tcBorders>
              <w:left w:val="single" w:sz="4" w:space="0" w:color="auto"/>
              <w:bottom w:val="double" w:sz="4" w:space="0" w:color="auto"/>
              <w:right w:val="single" w:sz="4" w:space="0" w:color="auto"/>
            </w:tcBorders>
            <w:shd w:val="clear" w:color="000000" w:fill="EAF1DD"/>
            <w:vAlign w:val="center"/>
            <w:hideMark/>
          </w:tcPr>
          <w:p w:rsidR="00966C6E" w:rsidRPr="004559C1" w:rsidRDefault="00966C6E" w:rsidP="001737FC">
            <w:pPr>
              <w:ind w:left="-57" w:right="-57"/>
              <w:jc w:val="center"/>
              <w:rPr>
                <w:sz w:val="18"/>
                <w:szCs w:val="18"/>
              </w:rPr>
            </w:pPr>
          </w:p>
        </w:tc>
        <w:tc>
          <w:tcPr>
            <w:tcW w:w="850" w:type="dxa"/>
            <w:vMerge/>
            <w:tcBorders>
              <w:left w:val="nil"/>
              <w:bottom w:val="double" w:sz="4" w:space="0" w:color="auto"/>
              <w:right w:val="double" w:sz="4" w:space="0" w:color="auto"/>
            </w:tcBorders>
            <w:shd w:val="clear" w:color="000000" w:fill="EAF1DD"/>
            <w:vAlign w:val="center"/>
            <w:hideMark/>
          </w:tcPr>
          <w:p w:rsidR="00966C6E" w:rsidRPr="004559C1" w:rsidRDefault="00966C6E" w:rsidP="001737FC">
            <w:pPr>
              <w:ind w:left="-57" w:right="-57"/>
              <w:jc w:val="center"/>
              <w:rPr>
                <w:sz w:val="18"/>
                <w:szCs w:val="18"/>
              </w:rPr>
            </w:pPr>
          </w:p>
        </w:tc>
      </w:tr>
      <w:tr w:rsidR="00586CE2" w:rsidRPr="004559C1" w:rsidTr="00666492">
        <w:trPr>
          <w:trHeight w:val="20"/>
        </w:trPr>
        <w:tc>
          <w:tcPr>
            <w:tcW w:w="710" w:type="dxa"/>
            <w:tcBorders>
              <w:top w:val="double" w:sz="4" w:space="0" w:color="auto"/>
              <w:left w:val="double" w:sz="4" w:space="0" w:color="auto"/>
              <w:bottom w:val="double" w:sz="4" w:space="0" w:color="auto"/>
              <w:right w:val="nil"/>
            </w:tcBorders>
            <w:vAlign w:val="center"/>
          </w:tcPr>
          <w:p w:rsidR="00586CE2" w:rsidRPr="004559C1" w:rsidRDefault="00586CE2" w:rsidP="001737FC">
            <w:pPr>
              <w:ind w:left="-57" w:right="-57"/>
              <w:jc w:val="center"/>
              <w:rPr>
                <w:b/>
                <w:sz w:val="16"/>
                <w:szCs w:val="16"/>
              </w:rPr>
            </w:pPr>
            <w:r w:rsidRPr="004559C1">
              <w:rPr>
                <w:b/>
                <w:sz w:val="16"/>
                <w:szCs w:val="16"/>
              </w:rPr>
              <w:t> </w:t>
            </w:r>
          </w:p>
        </w:tc>
        <w:tc>
          <w:tcPr>
            <w:tcW w:w="3685" w:type="dxa"/>
            <w:tcBorders>
              <w:top w:val="double" w:sz="4" w:space="0" w:color="auto"/>
              <w:left w:val="single" w:sz="8" w:space="0" w:color="auto"/>
              <w:bottom w:val="double" w:sz="4" w:space="0" w:color="auto"/>
              <w:right w:val="single" w:sz="4" w:space="0" w:color="auto"/>
            </w:tcBorders>
            <w:shd w:val="clear" w:color="auto" w:fill="auto"/>
            <w:vAlign w:val="center"/>
            <w:hideMark/>
          </w:tcPr>
          <w:p w:rsidR="00586CE2" w:rsidRPr="004559C1" w:rsidRDefault="00586CE2" w:rsidP="001737FC">
            <w:pPr>
              <w:ind w:left="-57" w:right="-57"/>
              <w:rPr>
                <w:b/>
                <w:sz w:val="20"/>
                <w:szCs w:val="20"/>
              </w:rPr>
            </w:pPr>
            <w:r w:rsidRPr="004559C1">
              <w:rPr>
                <w:b/>
                <w:sz w:val="20"/>
                <w:szCs w:val="20"/>
              </w:rPr>
              <w:t>Расходы бюджета – всего:</w:t>
            </w: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tcPr>
          <w:p w:rsidR="00586CE2" w:rsidRPr="006E6F59" w:rsidRDefault="00214103" w:rsidP="006E6F59">
            <w:pPr>
              <w:ind w:right="-57"/>
              <w:jc w:val="right"/>
              <w:rPr>
                <w:b/>
                <w:sz w:val="18"/>
                <w:szCs w:val="18"/>
              </w:rPr>
            </w:pPr>
            <w:r w:rsidRPr="006E6F59">
              <w:rPr>
                <w:b/>
                <w:sz w:val="18"/>
                <w:szCs w:val="18"/>
              </w:rPr>
              <w:t>720 731,1</w:t>
            </w:r>
          </w:p>
        </w:tc>
        <w:tc>
          <w:tcPr>
            <w:tcW w:w="993"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586CE2" w:rsidRPr="004559C1" w:rsidRDefault="00586CE2" w:rsidP="006E6F59">
            <w:pPr>
              <w:jc w:val="right"/>
              <w:rPr>
                <w:b/>
                <w:bCs/>
                <w:color w:val="000000"/>
                <w:sz w:val="18"/>
                <w:szCs w:val="18"/>
              </w:rPr>
            </w:pPr>
            <w:r w:rsidRPr="004559C1">
              <w:rPr>
                <w:b/>
                <w:bCs/>
                <w:color w:val="000000"/>
                <w:sz w:val="18"/>
                <w:szCs w:val="18"/>
              </w:rPr>
              <w:t>791</w:t>
            </w:r>
            <w:r>
              <w:rPr>
                <w:b/>
                <w:bCs/>
                <w:color w:val="000000"/>
                <w:sz w:val="18"/>
                <w:szCs w:val="18"/>
              </w:rPr>
              <w:t> </w:t>
            </w:r>
            <w:r w:rsidRPr="004559C1">
              <w:rPr>
                <w:b/>
                <w:bCs/>
                <w:color w:val="000000"/>
                <w:sz w:val="18"/>
                <w:szCs w:val="18"/>
              </w:rPr>
              <w:t>511,2</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rsidR="00586CE2" w:rsidRPr="004559C1" w:rsidRDefault="00586CE2" w:rsidP="006E6F59">
            <w:pPr>
              <w:jc w:val="right"/>
              <w:rPr>
                <w:b/>
                <w:bCs/>
                <w:color w:val="000000"/>
                <w:sz w:val="18"/>
                <w:szCs w:val="18"/>
              </w:rPr>
            </w:pPr>
            <w:r>
              <w:rPr>
                <w:b/>
                <w:bCs/>
                <w:color w:val="000000"/>
                <w:sz w:val="18"/>
                <w:szCs w:val="18"/>
              </w:rPr>
              <w:t>789 </w:t>
            </w:r>
            <w:r w:rsidRPr="004559C1">
              <w:rPr>
                <w:b/>
                <w:bCs/>
                <w:color w:val="000000"/>
                <w:sz w:val="18"/>
                <w:szCs w:val="18"/>
              </w:rPr>
              <w:t>860,1</w:t>
            </w:r>
          </w:p>
        </w:tc>
        <w:tc>
          <w:tcPr>
            <w:tcW w:w="992" w:type="dxa"/>
            <w:tcBorders>
              <w:top w:val="double" w:sz="4" w:space="0" w:color="auto"/>
              <w:left w:val="nil"/>
              <w:bottom w:val="double" w:sz="4" w:space="0" w:color="auto"/>
              <w:right w:val="single" w:sz="4" w:space="0" w:color="auto"/>
            </w:tcBorders>
            <w:shd w:val="clear" w:color="auto" w:fill="auto"/>
            <w:noWrap/>
            <w:vAlign w:val="center"/>
            <w:hideMark/>
          </w:tcPr>
          <w:p w:rsidR="00586CE2" w:rsidRPr="004559C1" w:rsidRDefault="00586CE2" w:rsidP="006E6F59">
            <w:pPr>
              <w:jc w:val="right"/>
              <w:rPr>
                <w:b/>
                <w:bCs/>
                <w:color w:val="000000"/>
                <w:sz w:val="18"/>
                <w:szCs w:val="18"/>
              </w:rPr>
            </w:pPr>
            <w:r w:rsidRPr="004559C1">
              <w:rPr>
                <w:b/>
                <w:bCs/>
                <w:color w:val="000000"/>
                <w:sz w:val="18"/>
                <w:szCs w:val="18"/>
              </w:rPr>
              <w:t>746</w:t>
            </w:r>
            <w:r>
              <w:rPr>
                <w:b/>
                <w:bCs/>
                <w:color w:val="000000"/>
                <w:sz w:val="18"/>
                <w:szCs w:val="18"/>
                <w:lang w:val="en-US"/>
              </w:rPr>
              <w:t> </w:t>
            </w:r>
            <w:r w:rsidRPr="004559C1">
              <w:rPr>
                <w:b/>
                <w:bCs/>
                <w:color w:val="000000"/>
                <w:sz w:val="18"/>
                <w:szCs w:val="18"/>
              </w:rPr>
              <w:t>906,6</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rsidR="00586CE2" w:rsidRPr="004559C1" w:rsidRDefault="00745E8C" w:rsidP="006E6F59">
            <w:pPr>
              <w:jc w:val="right"/>
              <w:rPr>
                <w:b/>
                <w:bCs/>
                <w:color w:val="000000"/>
                <w:sz w:val="18"/>
                <w:szCs w:val="18"/>
              </w:rPr>
            </w:pPr>
            <w:r>
              <w:rPr>
                <w:b/>
                <w:bCs/>
                <w:color w:val="000000"/>
                <w:sz w:val="18"/>
                <w:szCs w:val="18"/>
              </w:rPr>
              <w:t>-</w:t>
            </w:r>
            <w:r w:rsidR="00586CE2">
              <w:rPr>
                <w:b/>
                <w:bCs/>
                <w:color w:val="000000"/>
                <w:sz w:val="18"/>
                <w:szCs w:val="18"/>
              </w:rPr>
              <w:t>44</w:t>
            </w:r>
            <w:r w:rsidR="00586CE2">
              <w:rPr>
                <w:b/>
                <w:bCs/>
                <w:color w:val="000000"/>
                <w:sz w:val="18"/>
                <w:szCs w:val="18"/>
                <w:lang w:val="en-US"/>
              </w:rPr>
              <w:t> </w:t>
            </w:r>
            <w:r w:rsidR="00586CE2" w:rsidRPr="004559C1">
              <w:rPr>
                <w:b/>
                <w:bCs/>
                <w:color w:val="000000"/>
                <w:sz w:val="18"/>
                <w:szCs w:val="18"/>
              </w:rPr>
              <w:t>604,6</w:t>
            </w:r>
          </w:p>
        </w:tc>
        <w:tc>
          <w:tcPr>
            <w:tcW w:w="850" w:type="dxa"/>
            <w:tcBorders>
              <w:top w:val="double" w:sz="4" w:space="0" w:color="auto"/>
              <w:left w:val="nil"/>
              <w:bottom w:val="double" w:sz="4" w:space="0" w:color="auto"/>
              <w:right w:val="double" w:sz="4" w:space="0" w:color="auto"/>
            </w:tcBorders>
            <w:shd w:val="clear" w:color="auto" w:fill="auto"/>
            <w:noWrap/>
            <w:vAlign w:val="center"/>
            <w:hideMark/>
          </w:tcPr>
          <w:p w:rsidR="00586CE2" w:rsidRPr="004559C1" w:rsidRDefault="00586CE2" w:rsidP="006E6F59">
            <w:pPr>
              <w:jc w:val="right"/>
              <w:rPr>
                <w:b/>
                <w:bCs/>
                <w:color w:val="000000"/>
                <w:sz w:val="18"/>
                <w:szCs w:val="18"/>
              </w:rPr>
            </w:pPr>
            <w:r w:rsidRPr="004559C1">
              <w:rPr>
                <w:b/>
                <w:bCs/>
                <w:color w:val="000000"/>
                <w:sz w:val="18"/>
                <w:szCs w:val="18"/>
              </w:rPr>
              <w:t>94,4%</w:t>
            </w:r>
          </w:p>
        </w:tc>
      </w:tr>
      <w:tr w:rsidR="00586CE2" w:rsidRPr="004559C1" w:rsidTr="00666492">
        <w:trPr>
          <w:trHeight w:val="20"/>
        </w:trPr>
        <w:tc>
          <w:tcPr>
            <w:tcW w:w="710" w:type="dxa"/>
            <w:tcBorders>
              <w:top w:val="double" w:sz="4" w:space="0" w:color="auto"/>
              <w:left w:val="double" w:sz="4" w:space="0" w:color="auto"/>
              <w:bottom w:val="single" w:sz="4" w:space="0" w:color="auto"/>
              <w:right w:val="nil"/>
            </w:tcBorders>
            <w:vAlign w:val="center"/>
          </w:tcPr>
          <w:p w:rsidR="00586CE2" w:rsidRPr="0025472E" w:rsidRDefault="00586CE2" w:rsidP="001737FC">
            <w:pPr>
              <w:ind w:left="-57" w:right="-57"/>
              <w:jc w:val="center"/>
              <w:rPr>
                <w:b/>
                <w:i/>
                <w:sz w:val="16"/>
                <w:szCs w:val="16"/>
              </w:rPr>
            </w:pPr>
            <w:r w:rsidRPr="0025472E">
              <w:rPr>
                <w:b/>
                <w:i/>
                <w:sz w:val="16"/>
                <w:szCs w:val="16"/>
              </w:rPr>
              <w:t>0100</w:t>
            </w:r>
          </w:p>
        </w:tc>
        <w:tc>
          <w:tcPr>
            <w:tcW w:w="3685" w:type="dxa"/>
            <w:tcBorders>
              <w:top w:val="double" w:sz="4" w:space="0" w:color="auto"/>
              <w:left w:val="single" w:sz="8" w:space="0" w:color="auto"/>
              <w:bottom w:val="single" w:sz="4" w:space="0" w:color="auto"/>
              <w:right w:val="single" w:sz="4" w:space="0" w:color="auto"/>
            </w:tcBorders>
            <w:shd w:val="clear" w:color="auto" w:fill="auto"/>
            <w:vAlign w:val="center"/>
            <w:hideMark/>
          </w:tcPr>
          <w:p w:rsidR="00586CE2" w:rsidRPr="0025472E" w:rsidRDefault="00586CE2" w:rsidP="001737FC">
            <w:pPr>
              <w:ind w:left="-57" w:right="-57"/>
              <w:rPr>
                <w:b/>
                <w:i/>
                <w:sz w:val="20"/>
                <w:szCs w:val="20"/>
              </w:rPr>
            </w:pPr>
            <w:r w:rsidRPr="0025472E">
              <w:rPr>
                <w:b/>
                <w:i/>
                <w:sz w:val="20"/>
                <w:szCs w:val="20"/>
              </w:rPr>
              <w:t>Общегосударственные вопросы</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586CE2" w:rsidRPr="006E6F59" w:rsidRDefault="00214103" w:rsidP="006E6F59">
            <w:pPr>
              <w:ind w:right="-57"/>
              <w:jc w:val="right"/>
              <w:rPr>
                <w:b/>
                <w:i/>
                <w:sz w:val="18"/>
                <w:szCs w:val="18"/>
              </w:rPr>
            </w:pPr>
            <w:r w:rsidRPr="006E6F59">
              <w:rPr>
                <w:b/>
                <w:i/>
                <w:sz w:val="18"/>
                <w:szCs w:val="18"/>
              </w:rPr>
              <w:t>199 040,7</w:t>
            </w:r>
          </w:p>
        </w:tc>
        <w:tc>
          <w:tcPr>
            <w:tcW w:w="99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586CE2" w:rsidRPr="0025472E" w:rsidRDefault="00586CE2" w:rsidP="006E6F59">
            <w:pPr>
              <w:jc w:val="right"/>
              <w:rPr>
                <w:b/>
                <w:i/>
                <w:color w:val="000000"/>
                <w:sz w:val="18"/>
                <w:szCs w:val="18"/>
              </w:rPr>
            </w:pPr>
            <w:r w:rsidRPr="0025472E">
              <w:rPr>
                <w:b/>
                <w:i/>
                <w:color w:val="000000"/>
                <w:sz w:val="18"/>
                <w:szCs w:val="18"/>
                <w:lang w:val="en-US"/>
              </w:rPr>
              <w:t>277</w:t>
            </w:r>
            <w:r w:rsidRPr="0025472E">
              <w:rPr>
                <w:b/>
                <w:i/>
                <w:color w:val="000000"/>
                <w:sz w:val="18"/>
                <w:szCs w:val="18"/>
              </w:rPr>
              <w:t> </w:t>
            </w:r>
            <w:r w:rsidRPr="0025472E">
              <w:rPr>
                <w:b/>
                <w:i/>
                <w:color w:val="000000"/>
                <w:sz w:val="18"/>
                <w:szCs w:val="18"/>
                <w:lang w:val="en-US"/>
              </w:rPr>
              <w:t>954,7</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rsidR="00586CE2" w:rsidRPr="0025472E" w:rsidRDefault="00586CE2" w:rsidP="006E6F59">
            <w:pPr>
              <w:jc w:val="right"/>
              <w:rPr>
                <w:b/>
                <w:i/>
                <w:color w:val="000000"/>
                <w:sz w:val="18"/>
                <w:szCs w:val="18"/>
              </w:rPr>
            </w:pPr>
            <w:r w:rsidRPr="0025472E">
              <w:rPr>
                <w:b/>
                <w:i/>
                <w:color w:val="000000"/>
                <w:sz w:val="18"/>
                <w:szCs w:val="18"/>
                <w:lang w:val="en-US"/>
              </w:rPr>
              <w:t>277</w:t>
            </w:r>
            <w:r w:rsidRPr="0025472E">
              <w:rPr>
                <w:b/>
                <w:i/>
                <w:color w:val="000000"/>
                <w:sz w:val="18"/>
                <w:szCs w:val="18"/>
              </w:rPr>
              <w:t> </w:t>
            </w:r>
            <w:r w:rsidRPr="0025472E">
              <w:rPr>
                <w:b/>
                <w:i/>
                <w:color w:val="000000"/>
                <w:sz w:val="18"/>
                <w:szCs w:val="18"/>
                <w:lang w:val="en-US"/>
              </w:rPr>
              <w:t>954,7</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rsidR="00586CE2" w:rsidRPr="0025472E" w:rsidRDefault="00586CE2" w:rsidP="006E6F59">
            <w:pPr>
              <w:jc w:val="right"/>
              <w:rPr>
                <w:b/>
                <w:i/>
                <w:color w:val="000000"/>
                <w:sz w:val="18"/>
                <w:szCs w:val="18"/>
              </w:rPr>
            </w:pPr>
            <w:r w:rsidRPr="0025472E">
              <w:rPr>
                <w:b/>
                <w:i/>
                <w:color w:val="000000"/>
                <w:sz w:val="18"/>
                <w:szCs w:val="18"/>
                <w:lang w:val="en-US"/>
              </w:rPr>
              <w:t>258 839,7</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rsidR="00586CE2" w:rsidRPr="0025472E" w:rsidRDefault="00745E8C" w:rsidP="006E6F59">
            <w:pPr>
              <w:jc w:val="right"/>
              <w:rPr>
                <w:b/>
                <w:i/>
                <w:color w:val="000000"/>
                <w:sz w:val="18"/>
                <w:szCs w:val="18"/>
                <w:lang w:val="en-US"/>
              </w:rPr>
            </w:pPr>
            <w:r>
              <w:rPr>
                <w:b/>
                <w:i/>
                <w:color w:val="000000"/>
                <w:sz w:val="18"/>
                <w:szCs w:val="18"/>
              </w:rPr>
              <w:t>-</w:t>
            </w:r>
            <w:r w:rsidR="00586CE2" w:rsidRPr="0025472E">
              <w:rPr>
                <w:b/>
                <w:i/>
                <w:color w:val="000000"/>
                <w:sz w:val="18"/>
                <w:szCs w:val="18"/>
                <w:lang w:val="en-US"/>
              </w:rPr>
              <w:t>19 115,0</w:t>
            </w:r>
          </w:p>
        </w:tc>
        <w:tc>
          <w:tcPr>
            <w:tcW w:w="850" w:type="dxa"/>
            <w:tcBorders>
              <w:top w:val="double" w:sz="4" w:space="0" w:color="auto"/>
              <w:left w:val="nil"/>
              <w:bottom w:val="single" w:sz="4" w:space="0" w:color="auto"/>
              <w:right w:val="double" w:sz="4" w:space="0" w:color="auto"/>
            </w:tcBorders>
            <w:shd w:val="clear" w:color="auto" w:fill="auto"/>
            <w:noWrap/>
            <w:vAlign w:val="center"/>
            <w:hideMark/>
          </w:tcPr>
          <w:p w:rsidR="00586CE2" w:rsidRPr="0025472E" w:rsidRDefault="00586CE2" w:rsidP="006E6F59">
            <w:pPr>
              <w:jc w:val="right"/>
              <w:rPr>
                <w:b/>
                <w:i/>
                <w:color w:val="000000"/>
                <w:sz w:val="18"/>
                <w:szCs w:val="18"/>
              </w:rPr>
            </w:pPr>
            <w:r w:rsidRPr="0025472E">
              <w:rPr>
                <w:b/>
                <w:i/>
                <w:color w:val="000000"/>
                <w:sz w:val="18"/>
                <w:szCs w:val="18"/>
              </w:rPr>
              <w:t>93,1%</w:t>
            </w:r>
          </w:p>
        </w:tc>
      </w:tr>
      <w:tr w:rsidR="00214103" w:rsidRPr="004559C1" w:rsidTr="00666492">
        <w:trPr>
          <w:trHeight w:val="20"/>
        </w:trPr>
        <w:tc>
          <w:tcPr>
            <w:tcW w:w="710" w:type="dxa"/>
            <w:tcBorders>
              <w:top w:val="nil"/>
              <w:left w:val="double" w:sz="4" w:space="0" w:color="auto"/>
              <w:bottom w:val="single" w:sz="4" w:space="0" w:color="auto"/>
              <w:right w:val="nil"/>
            </w:tcBorders>
            <w:vAlign w:val="center"/>
          </w:tcPr>
          <w:p w:rsidR="00214103" w:rsidRPr="0025472E" w:rsidRDefault="00214103" w:rsidP="001737FC">
            <w:pPr>
              <w:ind w:left="-57" w:right="-57"/>
              <w:jc w:val="center"/>
              <w:rPr>
                <w:i/>
                <w:sz w:val="16"/>
                <w:szCs w:val="16"/>
              </w:rPr>
            </w:pPr>
            <w:r w:rsidRPr="0025472E">
              <w:rPr>
                <w:i/>
                <w:sz w:val="16"/>
                <w:szCs w:val="16"/>
              </w:rPr>
              <w:t>0113</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214103" w:rsidRPr="0025472E" w:rsidRDefault="00214103" w:rsidP="001737FC">
            <w:pPr>
              <w:ind w:left="-57" w:right="-57"/>
              <w:rPr>
                <w:i/>
                <w:sz w:val="20"/>
                <w:szCs w:val="20"/>
              </w:rPr>
            </w:pPr>
            <w:r w:rsidRPr="0025472E">
              <w:rPr>
                <w:i/>
                <w:sz w:val="20"/>
                <w:szCs w:val="20"/>
              </w:rPr>
              <w:t>Другие общегосударственные вопросы</w:t>
            </w:r>
          </w:p>
        </w:tc>
        <w:tc>
          <w:tcPr>
            <w:tcW w:w="1134" w:type="dxa"/>
            <w:tcBorders>
              <w:top w:val="nil"/>
              <w:left w:val="single" w:sz="4" w:space="0" w:color="auto"/>
              <w:bottom w:val="single" w:sz="4" w:space="0" w:color="auto"/>
              <w:right w:val="single" w:sz="4" w:space="0" w:color="auto"/>
            </w:tcBorders>
            <w:shd w:val="clear" w:color="auto" w:fill="auto"/>
            <w:vAlign w:val="center"/>
          </w:tcPr>
          <w:p w:rsidR="00214103" w:rsidRPr="006E6F59" w:rsidRDefault="00214103" w:rsidP="006E6F59">
            <w:pPr>
              <w:ind w:right="-57"/>
              <w:jc w:val="right"/>
              <w:rPr>
                <w:i/>
                <w:sz w:val="18"/>
                <w:szCs w:val="18"/>
              </w:rPr>
            </w:pPr>
            <w:r w:rsidRPr="006E6F59">
              <w:rPr>
                <w:i/>
                <w:sz w:val="18"/>
                <w:szCs w:val="18"/>
              </w:rPr>
              <w:t>199 040,7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103" w:rsidRPr="0025472E" w:rsidRDefault="00214103" w:rsidP="006E6F59">
            <w:pPr>
              <w:jc w:val="right"/>
              <w:rPr>
                <w:i/>
                <w:color w:val="000000"/>
                <w:sz w:val="18"/>
                <w:szCs w:val="18"/>
              </w:rPr>
            </w:pPr>
            <w:r w:rsidRPr="0025472E">
              <w:rPr>
                <w:i/>
                <w:color w:val="000000"/>
                <w:sz w:val="18"/>
                <w:szCs w:val="18"/>
                <w:lang w:val="en-US"/>
              </w:rPr>
              <w:t>277</w:t>
            </w:r>
            <w:r w:rsidRPr="0025472E">
              <w:rPr>
                <w:i/>
                <w:color w:val="000000"/>
                <w:sz w:val="18"/>
                <w:szCs w:val="18"/>
              </w:rPr>
              <w:t> </w:t>
            </w:r>
            <w:r w:rsidRPr="0025472E">
              <w:rPr>
                <w:i/>
                <w:color w:val="000000"/>
                <w:sz w:val="18"/>
                <w:szCs w:val="18"/>
                <w:lang w:val="en-US"/>
              </w:rPr>
              <w:t>954,7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25472E" w:rsidRDefault="00214103" w:rsidP="006E6F59">
            <w:pPr>
              <w:jc w:val="right"/>
              <w:rPr>
                <w:i/>
                <w:color w:val="000000"/>
                <w:sz w:val="18"/>
                <w:szCs w:val="18"/>
              </w:rPr>
            </w:pPr>
            <w:r w:rsidRPr="0025472E">
              <w:rPr>
                <w:i/>
                <w:color w:val="000000"/>
                <w:sz w:val="18"/>
                <w:szCs w:val="18"/>
                <w:lang w:val="en-US"/>
              </w:rPr>
              <w:t>277</w:t>
            </w:r>
            <w:r w:rsidRPr="0025472E">
              <w:rPr>
                <w:i/>
                <w:color w:val="000000"/>
                <w:sz w:val="18"/>
                <w:szCs w:val="18"/>
              </w:rPr>
              <w:t> </w:t>
            </w:r>
            <w:r w:rsidRPr="0025472E">
              <w:rPr>
                <w:i/>
                <w:color w:val="000000"/>
                <w:sz w:val="18"/>
                <w:szCs w:val="18"/>
                <w:lang w:val="en-US"/>
              </w:rPr>
              <w:t>954,7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4103" w:rsidRPr="0025472E" w:rsidRDefault="00214103" w:rsidP="006E6F59">
            <w:pPr>
              <w:jc w:val="right"/>
              <w:rPr>
                <w:i/>
                <w:color w:val="000000"/>
                <w:sz w:val="18"/>
                <w:szCs w:val="18"/>
              </w:rPr>
            </w:pPr>
            <w:r w:rsidRPr="0025472E">
              <w:rPr>
                <w:i/>
                <w:color w:val="000000"/>
                <w:sz w:val="18"/>
                <w:szCs w:val="18"/>
                <w:lang w:val="en-US"/>
              </w:rPr>
              <w:t>258 839,7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25472E" w:rsidRDefault="00745E8C" w:rsidP="006E6F59">
            <w:pPr>
              <w:jc w:val="right"/>
              <w:rPr>
                <w:i/>
                <w:color w:val="000000"/>
                <w:sz w:val="18"/>
                <w:szCs w:val="18"/>
                <w:lang w:val="en-US"/>
              </w:rPr>
            </w:pPr>
            <w:r>
              <w:rPr>
                <w:i/>
                <w:color w:val="000000"/>
                <w:sz w:val="18"/>
                <w:szCs w:val="18"/>
              </w:rPr>
              <w:t>-</w:t>
            </w:r>
            <w:r w:rsidR="00214103" w:rsidRPr="0025472E">
              <w:rPr>
                <w:i/>
                <w:color w:val="000000"/>
                <w:sz w:val="18"/>
                <w:szCs w:val="18"/>
                <w:lang w:val="en-US"/>
              </w:rPr>
              <w:t>19 115,0</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214103" w:rsidRPr="0025472E" w:rsidRDefault="00214103" w:rsidP="006E6F59">
            <w:pPr>
              <w:jc w:val="right"/>
              <w:rPr>
                <w:i/>
                <w:color w:val="000000"/>
                <w:sz w:val="18"/>
                <w:szCs w:val="18"/>
              </w:rPr>
            </w:pPr>
            <w:r w:rsidRPr="0025472E">
              <w:rPr>
                <w:i/>
                <w:color w:val="000000"/>
                <w:sz w:val="18"/>
                <w:szCs w:val="18"/>
              </w:rPr>
              <w:t>93,1%</w:t>
            </w:r>
          </w:p>
        </w:tc>
      </w:tr>
      <w:tr w:rsidR="00214103" w:rsidRPr="004559C1" w:rsidTr="00666492">
        <w:trPr>
          <w:trHeight w:val="115"/>
        </w:trPr>
        <w:tc>
          <w:tcPr>
            <w:tcW w:w="710" w:type="dxa"/>
            <w:tcBorders>
              <w:top w:val="nil"/>
              <w:left w:val="double" w:sz="4" w:space="0" w:color="auto"/>
              <w:bottom w:val="single" w:sz="4" w:space="0" w:color="auto"/>
              <w:right w:val="nil"/>
            </w:tcBorders>
            <w:vAlign w:val="center"/>
          </w:tcPr>
          <w:p w:rsidR="00214103" w:rsidRPr="004559C1" w:rsidRDefault="00214103" w:rsidP="001737FC">
            <w:pPr>
              <w:ind w:left="-57" w:right="-57"/>
              <w:jc w:val="center"/>
              <w:rPr>
                <w:sz w:val="16"/>
                <w:szCs w:val="16"/>
                <w:lang w:val="en-US"/>
              </w:rPr>
            </w:pPr>
            <w:r w:rsidRPr="004559C1">
              <w:rPr>
                <w:sz w:val="16"/>
                <w:szCs w:val="16"/>
                <w:lang w:val="en-US"/>
              </w:rPr>
              <w:t>9905104</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214103" w:rsidRPr="004559C1" w:rsidRDefault="00214103" w:rsidP="001737FC">
            <w:pPr>
              <w:ind w:left="-57" w:right="-57"/>
              <w:rPr>
                <w:sz w:val="20"/>
                <w:szCs w:val="20"/>
              </w:rPr>
            </w:pPr>
            <w:r w:rsidRPr="004559C1">
              <w:rPr>
                <w:sz w:val="20"/>
                <w:szCs w:val="20"/>
              </w:rPr>
              <w:t>Единовременное пособие гражданам, получившим вред здоровью (теракты 2013 года)</w:t>
            </w:r>
          </w:p>
        </w:tc>
        <w:tc>
          <w:tcPr>
            <w:tcW w:w="1134" w:type="dxa"/>
            <w:tcBorders>
              <w:top w:val="nil"/>
              <w:left w:val="single" w:sz="4" w:space="0" w:color="auto"/>
              <w:bottom w:val="single" w:sz="4" w:space="0" w:color="auto"/>
              <w:right w:val="single" w:sz="4" w:space="0" w:color="auto"/>
            </w:tcBorders>
            <w:shd w:val="clear" w:color="auto" w:fill="auto"/>
            <w:vAlign w:val="center"/>
          </w:tcPr>
          <w:p w:rsidR="00214103" w:rsidRPr="006E6F59" w:rsidRDefault="00D3278F" w:rsidP="006E6F59">
            <w:pPr>
              <w:ind w:left="-57" w:right="-57"/>
              <w:jc w:val="right"/>
              <w:rPr>
                <w:sz w:val="18"/>
                <w:szCs w:val="18"/>
              </w:rPr>
            </w:pPr>
            <w:r w:rsidRPr="006E6F59">
              <w:rPr>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2</w:t>
            </w:r>
            <w:r>
              <w:rPr>
                <w:color w:val="000000"/>
                <w:sz w:val="18"/>
                <w:szCs w:val="18"/>
              </w:rPr>
              <w:t> </w:t>
            </w:r>
            <w:r w:rsidRPr="004559C1">
              <w:rPr>
                <w:color w:val="000000"/>
                <w:sz w:val="18"/>
                <w:szCs w:val="18"/>
              </w:rPr>
              <w:t>047,0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Pr>
                <w:color w:val="000000"/>
                <w:sz w:val="18"/>
                <w:szCs w:val="18"/>
              </w:rPr>
              <w:t>2 </w:t>
            </w:r>
            <w:r w:rsidRPr="004559C1">
              <w:rPr>
                <w:color w:val="000000"/>
                <w:sz w:val="18"/>
                <w:szCs w:val="18"/>
              </w:rPr>
              <w:t>047,0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Pr>
                <w:color w:val="000000"/>
                <w:sz w:val="18"/>
                <w:szCs w:val="18"/>
              </w:rPr>
              <w:t>2</w:t>
            </w:r>
            <w:r>
              <w:rPr>
                <w:color w:val="000000"/>
                <w:sz w:val="18"/>
                <w:szCs w:val="18"/>
                <w:lang w:val="en-US"/>
              </w:rPr>
              <w:t> </w:t>
            </w:r>
            <w:r w:rsidRPr="004559C1">
              <w:rPr>
                <w:color w:val="000000"/>
                <w:sz w:val="18"/>
                <w:szCs w:val="18"/>
              </w:rPr>
              <w:t>047,0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lang w:val="en-US"/>
              </w:rPr>
            </w:pPr>
            <w:r w:rsidRPr="004559C1">
              <w:rPr>
                <w:color w:val="000000"/>
                <w:sz w:val="18"/>
                <w:szCs w:val="18"/>
                <w:lang w:val="en-US"/>
              </w:rPr>
              <w:t>0,0</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100,0%</w:t>
            </w:r>
          </w:p>
        </w:tc>
      </w:tr>
      <w:tr w:rsidR="00214103" w:rsidRPr="004559C1" w:rsidTr="00666492">
        <w:trPr>
          <w:trHeight w:val="115"/>
        </w:trPr>
        <w:tc>
          <w:tcPr>
            <w:tcW w:w="710" w:type="dxa"/>
            <w:tcBorders>
              <w:top w:val="nil"/>
              <w:left w:val="double" w:sz="4" w:space="0" w:color="auto"/>
              <w:bottom w:val="single" w:sz="4" w:space="0" w:color="auto"/>
              <w:right w:val="nil"/>
            </w:tcBorders>
            <w:vAlign w:val="center"/>
          </w:tcPr>
          <w:p w:rsidR="00214103" w:rsidRPr="004559C1" w:rsidRDefault="00214103" w:rsidP="001737FC">
            <w:pPr>
              <w:ind w:left="-57" w:right="-57"/>
              <w:jc w:val="center"/>
              <w:rPr>
                <w:sz w:val="16"/>
                <w:szCs w:val="16"/>
              </w:rPr>
            </w:pPr>
            <w:r w:rsidRPr="004559C1">
              <w:rPr>
                <w:sz w:val="16"/>
                <w:szCs w:val="16"/>
              </w:rPr>
              <w:t>9905224</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214103" w:rsidRPr="004559C1" w:rsidRDefault="00214103" w:rsidP="001737FC">
            <w:pPr>
              <w:ind w:left="-57" w:right="-57"/>
              <w:rPr>
                <w:sz w:val="20"/>
                <w:szCs w:val="20"/>
              </w:rPr>
            </w:pPr>
            <w:r w:rsidRPr="004559C1">
              <w:rPr>
                <w:sz w:val="20"/>
                <w:szCs w:val="20"/>
              </w:rPr>
              <w:t>Иные межбюджетные трансферты (обустройство граждан Украины)</w:t>
            </w:r>
          </w:p>
        </w:tc>
        <w:tc>
          <w:tcPr>
            <w:tcW w:w="1134" w:type="dxa"/>
            <w:tcBorders>
              <w:top w:val="nil"/>
              <w:left w:val="single" w:sz="4" w:space="0" w:color="auto"/>
              <w:bottom w:val="single" w:sz="4" w:space="0" w:color="auto"/>
              <w:right w:val="single" w:sz="4" w:space="0" w:color="auto"/>
            </w:tcBorders>
            <w:shd w:val="clear" w:color="auto" w:fill="auto"/>
            <w:vAlign w:val="center"/>
          </w:tcPr>
          <w:p w:rsidR="00214103" w:rsidRPr="006E6F59" w:rsidRDefault="006E6F59" w:rsidP="006E6F59">
            <w:pPr>
              <w:jc w:val="right"/>
              <w:rPr>
                <w:sz w:val="18"/>
                <w:szCs w:val="18"/>
              </w:rPr>
            </w:pPr>
            <w:r>
              <w:rPr>
                <w:sz w:val="18"/>
                <w:szCs w:val="18"/>
              </w:rPr>
              <w:t>170 615,9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246 </w:t>
            </w:r>
            <w:r w:rsidRPr="004559C1">
              <w:rPr>
                <w:color w:val="000000"/>
                <w:sz w:val="18"/>
                <w:szCs w:val="18"/>
              </w:rPr>
              <w:t>183,9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246 </w:t>
            </w:r>
            <w:r w:rsidRPr="004559C1">
              <w:rPr>
                <w:color w:val="000000"/>
                <w:sz w:val="18"/>
                <w:szCs w:val="18"/>
              </w:rPr>
              <w:t>183,9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227</w:t>
            </w:r>
            <w:r w:rsidRPr="006C3806">
              <w:rPr>
                <w:color w:val="000000"/>
                <w:sz w:val="18"/>
                <w:szCs w:val="18"/>
                <w:lang w:val="en-US"/>
              </w:rPr>
              <w:t> </w:t>
            </w:r>
            <w:r w:rsidRPr="004559C1">
              <w:rPr>
                <w:color w:val="000000"/>
                <w:sz w:val="18"/>
                <w:szCs w:val="18"/>
              </w:rPr>
              <w:t>861,3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745E8C" w:rsidP="006E6F59">
            <w:pPr>
              <w:jc w:val="right"/>
              <w:rPr>
                <w:color w:val="000000"/>
                <w:sz w:val="18"/>
                <w:szCs w:val="18"/>
              </w:rPr>
            </w:pPr>
            <w:r>
              <w:rPr>
                <w:color w:val="000000"/>
                <w:sz w:val="18"/>
                <w:szCs w:val="18"/>
              </w:rPr>
              <w:t>-</w:t>
            </w:r>
            <w:r w:rsidR="00214103" w:rsidRPr="006C3806">
              <w:rPr>
                <w:color w:val="000000"/>
                <w:sz w:val="18"/>
                <w:szCs w:val="18"/>
              </w:rPr>
              <w:t>18</w:t>
            </w:r>
            <w:r w:rsidR="00214103" w:rsidRPr="006C3806">
              <w:rPr>
                <w:color w:val="000000"/>
                <w:sz w:val="18"/>
                <w:szCs w:val="18"/>
                <w:lang w:val="en-US"/>
              </w:rPr>
              <w:t> </w:t>
            </w:r>
            <w:r w:rsidR="00214103" w:rsidRPr="004559C1">
              <w:rPr>
                <w:color w:val="000000"/>
                <w:sz w:val="18"/>
                <w:szCs w:val="18"/>
              </w:rPr>
              <w:t>322,60</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92,6%</w:t>
            </w:r>
          </w:p>
        </w:tc>
      </w:tr>
      <w:tr w:rsidR="00214103" w:rsidRPr="004559C1" w:rsidTr="00666492">
        <w:trPr>
          <w:trHeight w:val="20"/>
        </w:trPr>
        <w:tc>
          <w:tcPr>
            <w:tcW w:w="710" w:type="dxa"/>
            <w:tcBorders>
              <w:top w:val="nil"/>
              <w:left w:val="double" w:sz="4" w:space="0" w:color="auto"/>
              <w:bottom w:val="single" w:sz="4" w:space="0" w:color="auto"/>
              <w:right w:val="nil"/>
            </w:tcBorders>
            <w:vAlign w:val="center"/>
          </w:tcPr>
          <w:p w:rsidR="00214103" w:rsidRPr="004559C1" w:rsidRDefault="00214103" w:rsidP="001737FC">
            <w:pPr>
              <w:ind w:left="-57" w:right="-57"/>
              <w:jc w:val="center"/>
              <w:rPr>
                <w:sz w:val="16"/>
                <w:szCs w:val="16"/>
              </w:rPr>
            </w:pPr>
            <w:r w:rsidRPr="004559C1">
              <w:rPr>
                <w:sz w:val="16"/>
                <w:szCs w:val="16"/>
              </w:rPr>
              <w:t>9908067</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214103" w:rsidRPr="004559C1" w:rsidRDefault="00214103" w:rsidP="001737FC">
            <w:pPr>
              <w:ind w:left="-57" w:right="-57"/>
              <w:rPr>
                <w:sz w:val="20"/>
                <w:szCs w:val="20"/>
              </w:rPr>
            </w:pPr>
            <w:r w:rsidRPr="004559C1">
              <w:rPr>
                <w:sz w:val="20"/>
                <w:szCs w:val="20"/>
              </w:rPr>
              <w:t>Резервный фонд Администрации Волгоградской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tcPr>
          <w:p w:rsidR="00214103" w:rsidRPr="006E6F59" w:rsidRDefault="00214103" w:rsidP="006E6F59">
            <w:pPr>
              <w:jc w:val="right"/>
              <w:rPr>
                <w:sz w:val="18"/>
                <w:szCs w:val="18"/>
              </w:rPr>
            </w:pPr>
            <w:r w:rsidRPr="006E6F59">
              <w:rPr>
                <w:sz w:val="18"/>
                <w:szCs w:val="18"/>
              </w:rPr>
              <w:t>28 424,8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29 </w:t>
            </w:r>
            <w:r w:rsidRPr="004559C1">
              <w:rPr>
                <w:color w:val="000000"/>
                <w:sz w:val="18"/>
                <w:szCs w:val="18"/>
              </w:rPr>
              <w:t>723,8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29 </w:t>
            </w:r>
            <w:r w:rsidRPr="004559C1">
              <w:rPr>
                <w:color w:val="000000"/>
                <w:sz w:val="18"/>
                <w:szCs w:val="18"/>
              </w:rPr>
              <w:t>723,8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28</w:t>
            </w:r>
            <w:r w:rsidRPr="006C3806">
              <w:rPr>
                <w:color w:val="000000"/>
                <w:sz w:val="18"/>
                <w:szCs w:val="18"/>
                <w:lang w:val="en-US"/>
              </w:rPr>
              <w:t> </w:t>
            </w:r>
            <w:r w:rsidRPr="004559C1">
              <w:rPr>
                <w:color w:val="000000"/>
                <w:sz w:val="18"/>
                <w:szCs w:val="18"/>
              </w:rPr>
              <w:t>931,4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745E8C" w:rsidP="006E6F59">
            <w:pPr>
              <w:jc w:val="right"/>
              <w:rPr>
                <w:color w:val="000000"/>
                <w:sz w:val="18"/>
                <w:szCs w:val="18"/>
                <w:lang w:val="en-US"/>
              </w:rPr>
            </w:pPr>
            <w:r>
              <w:rPr>
                <w:color w:val="000000"/>
                <w:sz w:val="18"/>
                <w:szCs w:val="18"/>
              </w:rPr>
              <w:t>-</w:t>
            </w:r>
            <w:r w:rsidR="00214103" w:rsidRPr="004559C1">
              <w:rPr>
                <w:color w:val="000000"/>
                <w:sz w:val="18"/>
                <w:szCs w:val="18"/>
                <w:lang w:val="en-US"/>
              </w:rPr>
              <w:t>792,4</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97,3%</w:t>
            </w:r>
          </w:p>
        </w:tc>
      </w:tr>
      <w:tr w:rsidR="003228D6" w:rsidRPr="003228D6" w:rsidTr="00666492">
        <w:trPr>
          <w:trHeight w:val="20"/>
        </w:trPr>
        <w:tc>
          <w:tcPr>
            <w:tcW w:w="710" w:type="dxa"/>
            <w:tcBorders>
              <w:top w:val="nil"/>
              <w:left w:val="double" w:sz="4" w:space="0" w:color="auto"/>
              <w:bottom w:val="single" w:sz="4" w:space="0" w:color="auto"/>
              <w:right w:val="nil"/>
            </w:tcBorders>
            <w:vAlign w:val="center"/>
          </w:tcPr>
          <w:p w:rsidR="003228D6" w:rsidRPr="003228D6" w:rsidRDefault="003228D6" w:rsidP="001737FC">
            <w:pPr>
              <w:ind w:left="-57" w:right="-57"/>
              <w:jc w:val="center"/>
              <w:rPr>
                <w:b/>
                <w:i/>
                <w:sz w:val="16"/>
                <w:szCs w:val="16"/>
              </w:rPr>
            </w:pPr>
            <w:r w:rsidRPr="003228D6">
              <w:rPr>
                <w:b/>
                <w:i/>
                <w:sz w:val="16"/>
                <w:szCs w:val="16"/>
              </w:rPr>
              <w:t>0200</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3228D6" w:rsidRPr="003228D6" w:rsidRDefault="003228D6" w:rsidP="001737FC">
            <w:pPr>
              <w:ind w:left="-57" w:right="-57"/>
              <w:rPr>
                <w:b/>
                <w:i/>
                <w:sz w:val="20"/>
                <w:szCs w:val="20"/>
              </w:rPr>
            </w:pPr>
            <w:r>
              <w:rPr>
                <w:b/>
                <w:i/>
                <w:sz w:val="20"/>
                <w:szCs w:val="20"/>
              </w:rPr>
              <w:t>Национальная оборона</w:t>
            </w:r>
          </w:p>
        </w:tc>
        <w:tc>
          <w:tcPr>
            <w:tcW w:w="1134" w:type="dxa"/>
            <w:tcBorders>
              <w:top w:val="nil"/>
              <w:left w:val="single" w:sz="4" w:space="0" w:color="auto"/>
              <w:bottom w:val="single" w:sz="4" w:space="0" w:color="auto"/>
              <w:right w:val="single" w:sz="4" w:space="0" w:color="auto"/>
            </w:tcBorders>
            <w:shd w:val="clear" w:color="auto" w:fill="auto"/>
            <w:vAlign w:val="center"/>
          </w:tcPr>
          <w:p w:rsidR="003228D6" w:rsidRPr="006E6F59" w:rsidRDefault="003228D6" w:rsidP="006E6F59">
            <w:pPr>
              <w:jc w:val="right"/>
              <w:rPr>
                <w:b/>
                <w:i/>
                <w:sz w:val="18"/>
                <w:szCs w:val="18"/>
              </w:rPr>
            </w:pPr>
            <w:r w:rsidRPr="006E6F59">
              <w:rPr>
                <w:b/>
                <w:i/>
                <w:sz w:val="18"/>
                <w:szCs w:val="18"/>
              </w:rPr>
              <w:t>200,0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8D6" w:rsidRPr="003228D6" w:rsidRDefault="003228D6" w:rsidP="006E6F59">
            <w:pPr>
              <w:jc w:val="right"/>
              <w:rPr>
                <w:b/>
                <w:i/>
                <w:color w:val="000000"/>
                <w:sz w:val="18"/>
                <w:szCs w:val="18"/>
              </w:rPr>
            </w:pPr>
            <w:r>
              <w:rPr>
                <w:b/>
                <w:i/>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28D6" w:rsidRPr="003228D6" w:rsidRDefault="003228D6" w:rsidP="006E6F59">
            <w:pPr>
              <w:jc w:val="right"/>
              <w:rPr>
                <w:b/>
                <w:i/>
                <w:color w:val="000000"/>
                <w:sz w:val="18"/>
                <w:szCs w:val="18"/>
              </w:rPr>
            </w:pPr>
            <w:r>
              <w:rPr>
                <w:b/>
                <w:i/>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228D6" w:rsidRPr="003228D6" w:rsidRDefault="003228D6" w:rsidP="006E6F59">
            <w:pPr>
              <w:jc w:val="right"/>
              <w:rPr>
                <w:b/>
                <w:i/>
                <w:color w:val="000000"/>
                <w:sz w:val="18"/>
                <w:szCs w:val="18"/>
              </w:rPr>
            </w:pPr>
            <w:r>
              <w:rPr>
                <w:b/>
                <w:i/>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28D6" w:rsidRPr="003228D6" w:rsidRDefault="003228D6" w:rsidP="006E6F59">
            <w:pPr>
              <w:jc w:val="right"/>
              <w:rPr>
                <w:b/>
                <w:i/>
                <w:color w:val="000000"/>
                <w:sz w:val="18"/>
                <w:szCs w:val="18"/>
              </w:rPr>
            </w:pPr>
            <w:r>
              <w:rPr>
                <w:b/>
                <w:i/>
                <w:color w:val="000000"/>
                <w:sz w:val="18"/>
                <w:szCs w:val="18"/>
              </w:rPr>
              <w:t>-</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3228D6" w:rsidRPr="003228D6" w:rsidRDefault="003228D6" w:rsidP="006E6F59">
            <w:pPr>
              <w:jc w:val="right"/>
              <w:rPr>
                <w:b/>
                <w:i/>
                <w:color w:val="000000"/>
                <w:sz w:val="18"/>
                <w:szCs w:val="18"/>
              </w:rPr>
            </w:pPr>
            <w:r>
              <w:rPr>
                <w:b/>
                <w:i/>
                <w:color w:val="000000"/>
                <w:sz w:val="18"/>
                <w:szCs w:val="18"/>
              </w:rPr>
              <w:t>-</w:t>
            </w:r>
          </w:p>
        </w:tc>
      </w:tr>
      <w:tr w:rsidR="003228D6" w:rsidRPr="003228D6" w:rsidTr="00666492">
        <w:trPr>
          <w:trHeight w:val="20"/>
        </w:trPr>
        <w:tc>
          <w:tcPr>
            <w:tcW w:w="710" w:type="dxa"/>
            <w:tcBorders>
              <w:top w:val="nil"/>
              <w:left w:val="double" w:sz="4" w:space="0" w:color="auto"/>
              <w:bottom w:val="single" w:sz="4" w:space="0" w:color="auto"/>
              <w:right w:val="nil"/>
            </w:tcBorders>
            <w:vAlign w:val="center"/>
          </w:tcPr>
          <w:p w:rsidR="003228D6" w:rsidRPr="003228D6" w:rsidRDefault="003228D6" w:rsidP="001737FC">
            <w:pPr>
              <w:ind w:left="-57" w:right="-57"/>
              <w:jc w:val="center"/>
              <w:rPr>
                <w:i/>
                <w:sz w:val="16"/>
                <w:szCs w:val="16"/>
              </w:rPr>
            </w:pPr>
            <w:r w:rsidRPr="003228D6">
              <w:rPr>
                <w:i/>
                <w:sz w:val="16"/>
                <w:szCs w:val="16"/>
              </w:rPr>
              <w:t>0204</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3228D6" w:rsidRPr="003228D6" w:rsidRDefault="003228D6" w:rsidP="001737FC">
            <w:pPr>
              <w:ind w:left="-57" w:right="-57"/>
              <w:rPr>
                <w:i/>
                <w:sz w:val="20"/>
                <w:szCs w:val="20"/>
              </w:rPr>
            </w:pPr>
            <w:r w:rsidRPr="003228D6">
              <w:rPr>
                <w:i/>
                <w:sz w:val="20"/>
                <w:szCs w:val="20"/>
              </w:rPr>
              <w:t>Мобилизационная подготовка экономики</w:t>
            </w:r>
          </w:p>
        </w:tc>
        <w:tc>
          <w:tcPr>
            <w:tcW w:w="1134" w:type="dxa"/>
            <w:tcBorders>
              <w:top w:val="nil"/>
              <w:left w:val="single" w:sz="4" w:space="0" w:color="auto"/>
              <w:bottom w:val="single" w:sz="4" w:space="0" w:color="auto"/>
              <w:right w:val="single" w:sz="4" w:space="0" w:color="auto"/>
            </w:tcBorders>
            <w:shd w:val="clear" w:color="auto" w:fill="auto"/>
            <w:vAlign w:val="center"/>
          </w:tcPr>
          <w:p w:rsidR="003228D6" w:rsidRPr="006E6F59" w:rsidRDefault="003228D6" w:rsidP="006E6F59">
            <w:pPr>
              <w:jc w:val="right"/>
              <w:rPr>
                <w:i/>
                <w:sz w:val="18"/>
                <w:szCs w:val="18"/>
              </w:rPr>
            </w:pPr>
            <w:r w:rsidRPr="006E6F59">
              <w:rPr>
                <w:i/>
                <w:sz w:val="18"/>
                <w:szCs w:val="18"/>
              </w:rPr>
              <w:t>200,0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8D6" w:rsidRPr="003228D6" w:rsidRDefault="003228D6" w:rsidP="006E6F59">
            <w:pPr>
              <w:jc w:val="right"/>
              <w:rPr>
                <w:i/>
                <w:color w:val="000000"/>
                <w:sz w:val="18"/>
                <w:szCs w:val="18"/>
              </w:rPr>
            </w:pPr>
            <w:r w:rsidRPr="003228D6">
              <w:rPr>
                <w:i/>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28D6" w:rsidRPr="003228D6" w:rsidRDefault="003228D6" w:rsidP="006E6F59">
            <w:pPr>
              <w:jc w:val="right"/>
              <w:rPr>
                <w:i/>
                <w:color w:val="000000"/>
                <w:sz w:val="18"/>
                <w:szCs w:val="18"/>
              </w:rPr>
            </w:pPr>
            <w:r w:rsidRPr="003228D6">
              <w:rPr>
                <w:i/>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228D6" w:rsidRPr="003228D6" w:rsidRDefault="003228D6" w:rsidP="006E6F59">
            <w:pPr>
              <w:jc w:val="right"/>
              <w:rPr>
                <w:i/>
                <w:color w:val="000000"/>
                <w:sz w:val="18"/>
                <w:szCs w:val="18"/>
              </w:rPr>
            </w:pPr>
            <w:r w:rsidRPr="003228D6">
              <w:rPr>
                <w:i/>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28D6" w:rsidRPr="003228D6" w:rsidRDefault="003228D6" w:rsidP="006E6F59">
            <w:pPr>
              <w:jc w:val="right"/>
              <w:rPr>
                <w:i/>
                <w:color w:val="000000"/>
                <w:sz w:val="18"/>
                <w:szCs w:val="18"/>
              </w:rPr>
            </w:pPr>
            <w:r w:rsidRPr="003228D6">
              <w:rPr>
                <w:i/>
                <w:color w:val="000000"/>
                <w:sz w:val="18"/>
                <w:szCs w:val="18"/>
              </w:rPr>
              <w:t>-</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3228D6" w:rsidRPr="003228D6" w:rsidRDefault="003228D6" w:rsidP="006E6F59">
            <w:pPr>
              <w:jc w:val="right"/>
              <w:rPr>
                <w:i/>
                <w:color w:val="000000"/>
                <w:sz w:val="18"/>
                <w:szCs w:val="18"/>
              </w:rPr>
            </w:pPr>
            <w:r w:rsidRPr="003228D6">
              <w:rPr>
                <w:i/>
                <w:color w:val="000000"/>
                <w:sz w:val="18"/>
                <w:szCs w:val="18"/>
              </w:rPr>
              <w:t>-</w:t>
            </w:r>
          </w:p>
        </w:tc>
      </w:tr>
      <w:tr w:rsidR="00214103" w:rsidRPr="004559C1" w:rsidTr="00666492">
        <w:trPr>
          <w:trHeight w:val="20"/>
        </w:trPr>
        <w:tc>
          <w:tcPr>
            <w:tcW w:w="710" w:type="dxa"/>
            <w:tcBorders>
              <w:top w:val="nil"/>
              <w:left w:val="double" w:sz="4" w:space="0" w:color="auto"/>
              <w:bottom w:val="single" w:sz="4" w:space="0" w:color="auto"/>
              <w:right w:val="nil"/>
            </w:tcBorders>
            <w:vAlign w:val="center"/>
          </w:tcPr>
          <w:p w:rsidR="00214103" w:rsidRPr="0025472E" w:rsidRDefault="00214103" w:rsidP="001737FC">
            <w:pPr>
              <w:ind w:left="-57" w:right="-57"/>
              <w:jc w:val="center"/>
              <w:rPr>
                <w:b/>
                <w:i/>
                <w:sz w:val="16"/>
                <w:szCs w:val="16"/>
              </w:rPr>
            </w:pPr>
            <w:r w:rsidRPr="0025472E">
              <w:rPr>
                <w:b/>
                <w:i/>
                <w:sz w:val="16"/>
                <w:szCs w:val="16"/>
              </w:rPr>
              <w:t>0300</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214103" w:rsidRPr="0025472E" w:rsidRDefault="00214103" w:rsidP="001737FC">
            <w:pPr>
              <w:ind w:left="-57" w:right="-57"/>
              <w:rPr>
                <w:b/>
                <w:i/>
                <w:sz w:val="20"/>
                <w:szCs w:val="20"/>
              </w:rPr>
            </w:pPr>
            <w:r w:rsidRPr="0025472E">
              <w:rPr>
                <w:b/>
                <w:i/>
                <w:sz w:val="20"/>
                <w:szCs w:val="20"/>
              </w:rPr>
              <w:t>Национальная безопасность и правоохранительная деятельность</w:t>
            </w:r>
          </w:p>
        </w:tc>
        <w:tc>
          <w:tcPr>
            <w:tcW w:w="1134" w:type="dxa"/>
            <w:tcBorders>
              <w:top w:val="nil"/>
              <w:left w:val="single" w:sz="4" w:space="0" w:color="auto"/>
              <w:bottom w:val="single" w:sz="4" w:space="0" w:color="auto"/>
              <w:right w:val="single" w:sz="4" w:space="0" w:color="auto"/>
            </w:tcBorders>
            <w:shd w:val="clear" w:color="auto" w:fill="auto"/>
            <w:vAlign w:val="center"/>
          </w:tcPr>
          <w:p w:rsidR="00214103" w:rsidRPr="006E6F59" w:rsidRDefault="003228D6" w:rsidP="006E6F59">
            <w:pPr>
              <w:ind w:right="-57"/>
              <w:jc w:val="right"/>
              <w:rPr>
                <w:b/>
                <w:i/>
                <w:sz w:val="18"/>
                <w:szCs w:val="18"/>
              </w:rPr>
            </w:pPr>
            <w:r w:rsidRPr="006E6F59">
              <w:rPr>
                <w:b/>
                <w:i/>
                <w:sz w:val="18"/>
                <w:szCs w:val="18"/>
              </w:rPr>
              <w:t>505 904,2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103" w:rsidRPr="0025472E" w:rsidRDefault="00214103" w:rsidP="006E6F59">
            <w:pPr>
              <w:jc w:val="right"/>
              <w:rPr>
                <w:b/>
                <w:i/>
                <w:color w:val="000000"/>
                <w:sz w:val="18"/>
                <w:szCs w:val="18"/>
              </w:rPr>
            </w:pPr>
            <w:r w:rsidRPr="0025472E">
              <w:rPr>
                <w:b/>
                <w:i/>
                <w:color w:val="000000"/>
                <w:sz w:val="18"/>
                <w:szCs w:val="18"/>
              </w:rPr>
              <w:t>498 571,3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25472E" w:rsidRDefault="00214103" w:rsidP="006E6F59">
            <w:pPr>
              <w:jc w:val="right"/>
              <w:rPr>
                <w:b/>
                <w:i/>
                <w:color w:val="000000"/>
                <w:sz w:val="18"/>
                <w:szCs w:val="18"/>
              </w:rPr>
            </w:pPr>
            <w:r w:rsidRPr="0025472E">
              <w:rPr>
                <w:b/>
                <w:i/>
                <w:color w:val="000000"/>
                <w:sz w:val="18"/>
                <w:szCs w:val="18"/>
              </w:rPr>
              <w:t>496 921,7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4103" w:rsidRPr="0025472E" w:rsidRDefault="00214103" w:rsidP="006E6F59">
            <w:pPr>
              <w:jc w:val="right"/>
              <w:rPr>
                <w:b/>
                <w:i/>
                <w:color w:val="000000"/>
                <w:sz w:val="18"/>
                <w:szCs w:val="18"/>
              </w:rPr>
            </w:pPr>
            <w:r w:rsidRPr="0025472E">
              <w:rPr>
                <w:b/>
                <w:i/>
                <w:color w:val="000000"/>
                <w:sz w:val="18"/>
                <w:szCs w:val="18"/>
              </w:rPr>
              <w:t>474</w:t>
            </w:r>
            <w:r w:rsidRPr="0025472E">
              <w:rPr>
                <w:b/>
                <w:i/>
                <w:color w:val="000000"/>
                <w:sz w:val="18"/>
                <w:szCs w:val="18"/>
                <w:lang w:val="en-US"/>
              </w:rPr>
              <w:t> </w:t>
            </w:r>
            <w:r w:rsidRPr="0025472E">
              <w:rPr>
                <w:b/>
                <w:i/>
                <w:color w:val="000000"/>
                <w:sz w:val="18"/>
                <w:szCs w:val="18"/>
              </w:rPr>
              <w:t>193,3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25472E" w:rsidRDefault="00745E8C" w:rsidP="006E6F59">
            <w:pPr>
              <w:jc w:val="right"/>
              <w:rPr>
                <w:b/>
                <w:i/>
                <w:color w:val="000000"/>
                <w:sz w:val="18"/>
                <w:szCs w:val="18"/>
                <w:lang w:val="en-US"/>
              </w:rPr>
            </w:pPr>
            <w:r>
              <w:rPr>
                <w:b/>
                <w:i/>
                <w:color w:val="000000"/>
                <w:sz w:val="18"/>
                <w:szCs w:val="18"/>
              </w:rPr>
              <w:t>-</w:t>
            </w:r>
            <w:r w:rsidR="00214103" w:rsidRPr="0025472E">
              <w:rPr>
                <w:b/>
                <w:i/>
                <w:color w:val="000000"/>
                <w:sz w:val="18"/>
                <w:szCs w:val="18"/>
                <w:lang w:val="en-US"/>
              </w:rPr>
              <w:t>24 378,0</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214103" w:rsidRPr="0025472E" w:rsidRDefault="00214103" w:rsidP="006E6F59">
            <w:pPr>
              <w:jc w:val="right"/>
              <w:rPr>
                <w:b/>
                <w:i/>
                <w:color w:val="000000"/>
                <w:sz w:val="18"/>
                <w:szCs w:val="18"/>
              </w:rPr>
            </w:pPr>
            <w:r w:rsidRPr="0025472E">
              <w:rPr>
                <w:b/>
                <w:i/>
                <w:color w:val="000000"/>
                <w:sz w:val="18"/>
                <w:szCs w:val="18"/>
              </w:rPr>
              <w:t>95,1%</w:t>
            </w:r>
          </w:p>
        </w:tc>
      </w:tr>
      <w:tr w:rsidR="00214103" w:rsidRPr="004559C1" w:rsidTr="00666492">
        <w:trPr>
          <w:trHeight w:val="20"/>
        </w:trPr>
        <w:tc>
          <w:tcPr>
            <w:tcW w:w="710" w:type="dxa"/>
            <w:tcBorders>
              <w:top w:val="nil"/>
              <w:left w:val="double" w:sz="4" w:space="0" w:color="auto"/>
              <w:bottom w:val="single" w:sz="4" w:space="0" w:color="auto"/>
              <w:right w:val="nil"/>
            </w:tcBorders>
            <w:vAlign w:val="center"/>
          </w:tcPr>
          <w:p w:rsidR="00214103" w:rsidRPr="0025472E" w:rsidRDefault="00214103" w:rsidP="001737FC">
            <w:pPr>
              <w:ind w:left="-57" w:right="-57"/>
              <w:jc w:val="center"/>
              <w:rPr>
                <w:i/>
                <w:sz w:val="16"/>
                <w:szCs w:val="16"/>
              </w:rPr>
            </w:pPr>
            <w:r w:rsidRPr="0025472E">
              <w:rPr>
                <w:i/>
                <w:sz w:val="16"/>
                <w:szCs w:val="16"/>
              </w:rPr>
              <w:t>0309</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214103" w:rsidRPr="0025472E" w:rsidRDefault="00214103" w:rsidP="001737FC">
            <w:pPr>
              <w:ind w:left="-57" w:right="-57"/>
              <w:rPr>
                <w:i/>
                <w:sz w:val="20"/>
                <w:szCs w:val="20"/>
              </w:rPr>
            </w:pPr>
            <w:r w:rsidRPr="0025472E">
              <w:rPr>
                <w:i/>
                <w:sz w:val="20"/>
                <w:szCs w:val="20"/>
              </w:rPr>
              <w:t>Защита населения и территории от чрезвычайных ситуаций</w:t>
            </w:r>
          </w:p>
        </w:tc>
        <w:tc>
          <w:tcPr>
            <w:tcW w:w="1134" w:type="dxa"/>
            <w:tcBorders>
              <w:top w:val="nil"/>
              <w:left w:val="single" w:sz="4" w:space="0" w:color="auto"/>
              <w:bottom w:val="single" w:sz="4" w:space="0" w:color="auto"/>
              <w:right w:val="single" w:sz="4" w:space="0" w:color="auto"/>
            </w:tcBorders>
            <w:shd w:val="clear" w:color="auto" w:fill="auto"/>
            <w:vAlign w:val="center"/>
          </w:tcPr>
          <w:p w:rsidR="00214103" w:rsidRPr="006E6F59" w:rsidRDefault="003228D6" w:rsidP="006E6F59">
            <w:pPr>
              <w:jc w:val="right"/>
              <w:rPr>
                <w:i/>
                <w:sz w:val="18"/>
                <w:szCs w:val="18"/>
              </w:rPr>
            </w:pPr>
            <w:r w:rsidRPr="006E6F59">
              <w:rPr>
                <w:i/>
                <w:sz w:val="18"/>
                <w:szCs w:val="18"/>
              </w:rPr>
              <w:t>247 576,8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103" w:rsidRPr="0025472E" w:rsidRDefault="00214103" w:rsidP="006E6F59">
            <w:pPr>
              <w:jc w:val="right"/>
              <w:rPr>
                <w:i/>
                <w:color w:val="000000"/>
                <w:sz w:val="18"/>
                <w:szCs w:val="18"/>
              </w:rPr>
            </w:pPr>
            <w:r w:rsidRPr="0025472E">
              <w:rPr>
                <w:i/>
                <w:color w:val="000000"/>
                <w:sz w:val="18"/>
                <w:szCs w:val="18"/>
              </w:rPr>
              <w:t>244 469,9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25472E" w:rsidRDefault="00214103" w:rsidP="006E6F59">
            <w:pPr>
              <w:jc w:val="right"/>
              <w:rPr>
                <w:i/>
                <w:color w:val="000000"/>
                <w:sz w:val="18"/>
                <w:szCs w:val="18"/>
              </w:rPr>
            </w:pPr>
            <w:r w:rsidRPr="0025472E">
              <w:rPr>
                <w:i/>
                <w:color w:val="000000"/>
                <w:sz w:val="18"/>
                <w:szCs w:val="18"/>
              </w:rPr>
              <w:t>243 709,4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4103" w:rsidRPr="0025472E" w:rsidRDefault="00214103" w:rsidP="006E6F59">
            <w:pPr>
              <w:jc w:val="right"/>
              <w:rPr>
                <w:i/>
                <w:color w:val="000000"/>
                <w:sz w:val="18"/>
                <w:szCs w:val="18"/>
              </w:rPr>
            </w:pPr>
            <w:r w:rsidRPr="0025472E">
              <w:rPr>
                <w:i/>
                <w:color w:val="000000"/>
                <w:sz w:val="18"/>
                <w:szCs w:val="18"/>
              </w:rPr>
              <w:t>232</w:t>
            </w:r>
            <w:r w:rsidRPr="0025472E">
              <w:rPr>
                <w:i/>
                <w:color w:val="000000"/>
                <w:sz w:val="18"/>
                <w:szCs w:val="18"/>
                <w:lang w:val="en-US"/>
              </w:rPr>
              <w:t> </w:t>
            </w:r>
            <w:r w:rsidRPr="0025472E">
              <w:rPr>
                <w:i/>
                <w:color w:val="000000"/>
                <w:sz w:val="18"/>
                <w:szCs w:val="18"/>
              </w:rPr>
              <w:t>029,0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25472E" w:rsidRDefault="00745E8C" w:rsidP="006E6F59">
            <w:pPr>
              <w:jc w:val="right"/>
              <w:rPr>
                <w:i/>
                <w:color w:val="000000"/>
                <w:sz w:val="18"/>
                <w:szCs w:val="18"/>
                <w:lang w:val="en-US"/>
              </w:rPr>
            </w:pPr>
            <w:r>
              <w:rPr>
                <w:i/>
                <w:color w:val="000000"/>
                <w:sz w:val="18"/>
                <w:szCs w:val="18"/>
              </w:rPr>
              <w:t>-</w:t>
            </w:r>
            <w:r w:rsidR="00214103" w:rsidRPr="0025472E">
              <w:rPr>
                <w:i/>
                <w:color w:val="000000"/>
                <w:sz w:val="18"/>
                <w:szCs w:val="18"/>
                <w:lang w:val="en-US"/>
              </w:rPr>
              <w:t>12 440,9</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214103" w:rsidRPr="0025472E" w:rsidRDefault="00214103" w:rsidP="006E6F59">
            <w:pPr>
              <w:jc w:val="right"/>
              <w:rPr>
                <w:i/>
                <w:color w:val="000000"/>
                <w:sz w:val="18"/>
                <w:szCs w:val="18"/>
              </w:rPr>
            </w:pPr>
            <w:r w:rsidRPr="0025472E">
              <w:rPr>
                <w:i/>
                <w:color w:val="000000"/>
                <w:sz w:val="18"/>
                <w:szCs w:val="18"/>
              </w:rPr>
              <w:t>94,9%</w:t>
            </w:r>
          </w:p>
        </w:tc>
      </w:tr>
      <w:tr w:rsidR="00214103" w:rsidRPr="004559C1" w:rsidTr="00666492">
        <w:trPr>
          <w:trHeight w:val="20"/>
        </w:trPr>
        <w:tc>
          <w:tcPr>
            <w:tcW w:w="710" w:type="dxa"/>
            <w:tcBorders>
              <w:top w:val="nil"/>
              <w:left w:val="double" w:sz="4" w:space="0" w:color="auto"/>
              <w:bottom w:val="single" w:sz="4" w:space="0" w:color="auto"/>
              <w:right w:val="nil"/>
            </w:tcBorders>
            <w:vAlign w:val="center"/>
          </w:tcPr>
          <w:p w:rsidR="00214103" w:rsidRPr="004559C1" w:rsidRDefault="00214103" w:rsidP="001737FC">
            <w:pPr>
              <w:ind w:left="-57" w:right="-57"/>
              <w:jc w:val="center"/>
              <w:rPr>
                <w:sz w:val="16"/>
                <w:szCs w:val="16"/>
              </w:rPr>
            </w:pPr>
            <w:r w:rsidRPr="004559C1">
              <w:rPr>
                <w:sz w:val="16"/>
                <w:szCs w:val="16"/>
              </w:rPr>
              <w:t>0122103</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214103" w:rsidRPr="004559C1" w:rsidRDefault="00214103" w:rsidP="001737FC">
            <w:pPr>
              <w:ind w:left="-57" w:right="-57"/>
              <w:rPr>
                <w:sz w:val="20"/>
                <w:szCs w:val="20"/>
              </w:rPr>
            </w:pPr>
            <w:r w:rsidRPr="004559C1">
              <w:rPr>
                <w:sz w:val="20"/>
                <w:szCs w:val="20"/>
              </w:rPr>
              <w:t>Закупка товаров, работ, услуг для создания системы обеспечения вызова служб «122»</w:t>
            </w:r>
          </w:p>
        </w:tc>
        <w:tc>
          <w:tcPr>
            <w:tcW w:w="1134" w:type="dxa"/>
            <w:tcBorders>
              <w:top w:val="nil"/>
              <w:left w:val="single" w:sz="4" w:space="0" w:color="auto"/>
              <w:bottom w:val="single" w:sz="4" w:space="0" w:color="auto"/>
              <w:right w:val="single" w:sz="4" w:space="0" w:color="auto"/>
            </w:tcBorders>
            <w:shd w:val="clear" w:color="auto" w:fill="auto"/>
            <w:vAlign w:val="center"/>
          </w:tcPr>
          <w:p w:rsidR="00214103" w:rsidRPr="006E6F59" w:rsidRDefault="003228D6" w:rsidP="006E6F59">
            <w:pPr>
              <w:ind w:right="-57"/>
              <w:jc w:val="right"/>
              <w:rPr>
                <w:sz w:val="18"/>
                <w:szCs w:val="18"/>
              </w:rPr>
            </w:pPr>
            <w:r w:rsidRPr="006E6F59">
              <w:rPr>
                <w:sz w:val="18"/>
                <w:szCs w:val="18"/>
              </w:rPr>
              <w:t>20 958,6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18 </w:t>
            </w:r>
            <w:r w:rsidRPr="004559C1">
              <w:rPr>
                <w:color w:val="000000"/>
                <w:sz w:val="18"/>
                <w:szCs w:val="18"/>
              </w:rPr>
              <w:t>696,9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18 </w:t>
            </w:r>
            <w:r w:rsidRPr="004559C1">
              <w:rPr>
                <w:color w:val="000000"/>
                <w:sz w:val="18"/>
                <w:szCs w:val="18"/>
              </w:rPr>
              <w:t>667,4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18</w:t>
            </w:r>
            <w:r w:rsidRPr="006C3806">
              <w:rPr>
                <w:color w:val="000000"/>
                <w:sz w:val="18"/>
                <w:szCs w:val="18"/>
                <w:lang w:val="en-US"/>
              </w:rPr>
              <w:t> </w:t>
            </w:r>
            <w:r w:rsidRPr="004559C1">
              <w:rPr>
                <w:color w:val="000000"/>
                <w:sz w:val="18"/>
                <w:szCs w:val="18"/>
              </w:rPr>
              <w:t>026,8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745E8C" w:rsidP="006E6F59">
            <w:pPr>
              <w:jc w:val="right"/>
              <w:rPr>
                <w:color w:val="000000"/>
                <w:sz w:val="18"/>
                <w:szCs w:val="18"/>
                <w:lang w:val="en-US"/>
              </w:rPr>
            </w:pPr>
            <w:r>
              <w:rPr>
                <w:color w:val="000000"/>
                <w:sz w:val="18"/>
                <w:szCs w:val="18"/>
              </w:rPr>
              <w:t>-</w:t>
            </w:r>
            <w:r w:rsidR="00214103" w:rsidRPr="004559C1">
              <w:rPr>
                <w:color w:val="000000"/>
                <w:sz w:val="18"/>
                <w:szCs w:val="18"/>
                <w:lang w:val="en-US"/>
              </w:rPr>
              <w:t>670,1</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96,4%</w:t>
            </w:r>
          </w:p>
        </w:tc>
      </w:tr>
      <w:tr w:rsidR="00214103" w:rsidRPr="004559C1" w:rsidTr="00666492">
        <w:trPr>
          <w:trHeight w:val="20"/>
        </w:trPr>
        <w:tc>
          <w:tcPr>
            <w:tcW w:w="710" w:type="dxa"/>
            <w:tcBorders>
              <w:top w:val="nil"/>
              <w:left w:val="double" w:sz="4" w:space="0" w:color="auto"/>
              <w:bottom w:val="single" w:sz="4" w:space="0" w:color="auto"/>
              <w:right w:val="nil"/>
            </w:tcBorders>
            <w:vAlign w:val="center"/>
          </w:tcPr>
          <w:p w:rsidR="00214103" w:rsidRPr="004559C1" w:rsidRDefault="00214103" w:rsidP="001737FC">
            <w:pPr>
              <w:ind w:left="-57" w:right="-57"/>
              <w:jc w:val="center"/>
              <w:rPr>
                <w:sz w:val="16"/>
                <w:szCs w:val="16"/>
              </w:rPr>
            </w:pPr>
            <w:r w:rsidRPr="004559C1">
              <w:rPr>
                <w:sz w:val="16"/>
                <w:szCs w:val="16"/>
              </w:rPr>
              <w:t>0130059</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214103" w:rsidRPr="004559C1" w:rsidRDefault="00214103" w:rsidP="001737FC">
            <w:pPr>
              <w:ind w:left="-57" w:right="-57"/>
              <w:rPr>
                <w:sz w:val="20"/>
                <w:szCs w:val="20"/>
              </w:rPr>
            </w:pPr>
            <w:r w:rsidRPr="004559C1">
              <w:rPr>
                <w:sz w:val="20"/>
                <w:szCs w:val="20"/>
              </w:rPr>
              <w:t>Расходы на обеспечение деятельности казенных учреждений</w:t>
            </w:r>
          </w:p>
        </w:tc>
        <w:tc>
          <w:tcPr>
            <w:tcW w:w="1134" w:type="dxa"/>
            <w:tcBorders>
              <w:top w:val="nil"/>
              <w:left w:val="single" w:sz="4" w:space="0" w:color="auto"/>
              <w:bottom w:val="single" w:sz="4" w:space="0" w:color="auto"/>
              <w:right w:val="single" w:sz="4" w:space="0" w:color="auto"/>
            </w:tcBorders>
            <w:shd w:val="clear" w:color="auto" w:fill="auto"/>
            <w:vAlign w:val="center"/>
          </w:tcPr>
          <w:p w:rsidR="00214103" w:rsidRPr="006E6F59" w:rsidRDefault="003228D6" w:rsidP="006E6F59">
            <w:pPr>
              <w:ind w:left="-57" w:right="-57"/>
              <w:jc w:val="right"/>
              <w:rPr>
                <w:sz w:val="18"/>
                <w:szCs w:val="18"/>
              </w:rPr>
            </w:pPr>
            <w:r w:rsidRPr="006E6F59">
              <w:rPr>
                <w:sz w:val="18"/>
                <w:szCs w:val="18"/>
              </w:rPr>
              <w:t>136 715,0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155 </w:t>
            </w:r>
            <w:r w:rsidRPr="004559C1">
              <w:rPr>
                <w:color w:val="000000"/>
                <w:sz w:val="18"/>
                <w:szCs w:val="18"/>
              </w:rPr>
              <w:t>620,8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155 </w:t>
            </w:r>
            <w:r w:rsidRPr="004559C1">
              <w:rPr>
                <w:color w:val="000000"/>
                <w:sz w:val="18"/>
                <w:szCs w:val="18"/>
              </w:rPr>
              <w:t>248,2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149</w:t>
            </w:r>
            <w:r w:rsidRPr="006C3806">
              <w:rPr>
                <w:color w:val="000000"/>
                <w:sz w:val="18"/>
                <w:szCs w:val="18"/>
                <w:lang w:val="en-US"/>
              </w:rPr>
              <w:t> </w:t>
            </w:r>
            <w:r w:rsidRPr="004559C1">
              <w:rPr>
                <w:color w:val="000000"/>
                <w:sz w:val="18"/>
                <w:szCs w:val="18"/>
              </w:rPr>
              <w:t>194,6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745E8C" w:rsidP="006E6F59">
            <w:pPr>
              <w:jc w:val="right"/>
              <w:rPr>
                <w:color w:val="000000"/>
                <w:sz w:val="18"/>
                <w:szCs w:val="18"/>
                <w:lang w:val="en-US"/>
              </w:rPr>
            </w:pPr>
            <w:r>
              <w:rPr>
                <w:color w:val="000000"/>
                <w:sz w:val="18"/>
                <w:szCs w:val="18"/>
              </w:rPr>
              <w:t>-</w:t>
            </w:r>
            <w:r w:rsidR="00214103" w:rsidRPr="006C3806">
              <w:rPr>
                <w:color w:val="000000"/>
                <w:sz w:val="18"/>
                <w:szCs w:val="18"/>
                <w:lang w:val="en-US"/>
              </w:rPr>
              <w:t>6 </w:t>
            </w:r>
            <w:r w:rsidR="00214103" w:rsidRPr="004559C1">
              <w:rPr>
                <w:color w:val="000000"/>
                <w:sz w:val="18"/>
                <w:szCs w:val="18"/>
                <w:lang w:val="en-US"/>
              </w:rPr>
              <w:t>426,2</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95,9%</w:t>
            </w:r>
          </w:p>
        </w:tc>
      </w:tr>
      <w:tr w:rsidR="00214103" w:rsidRPr="004559C1" w:rsidTr="00666492">
        <w:trPr>
          <w:trHeight w:val="20"/>
        </w:trPr>
        <w:tc>
          <w:tcPr>
            <w:tcW w:w="710" w:type="dxa"/>
            <w:tcBorders>
              <w:top w:val="nil"/>
              <w:left w:val="double" w:sz="4" w:space="0" w:color="auto"/>
              <w:bottom w:val="single" w:sz="4" w:space="0" w:color="auto"/>
              <w:right w:val="nil"/>
            </w:tcBorders>
            <w:vAlign w:val="center"/>
          </w:tcPr>
          <w:p w:rsidR="00214103" w:rsidRPr="004559C1" w:rsidRDefault="00214103" w:rsidP="001737FC">
            <w:pPr>
              <w:ind w:left="-57" w:right="-57"/>
              <w:jc w:val="center"/>
              <w:rPr>
                <w:sz w:val="16"/>
                <w:szCs w:val="16"/>
              </w:rPr>
            </w:pPr>
            <w:r w:rsidRPr="004559C1">
              <w:rPr>
                <w:sz w:val="16"/>
                <w:szCs w:val="16"/>
              </w:rPr>
              <w:t>0132009</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214103" w:rsidRPr="004559C1" w:rsidRDefault="00214103" w:rsidP="001737FC">
            <w:pPr>
              <w:ind w:left="-57" w:right="-57"/>
              <w:rPr>
                <w:sz w:val="20"/>
                <w:szCs w:val="20"/>
              </w:rPr>
            </w:pPr>
            <w:r w:rsidRPr="004559C1">
              <w:rPr>
                <w:sz w:val="20"/>
                <w:szCs w:val="20"/>
              </w:rPr>
              <w:t>Закупка товаров, работ и услуг для государственных нужд</w:t>
            </w:r>
          </w:p>
        </w:tc>
        <w:tc>
          <w:tcPr>
            <w:tcW w:w="1134" w:type="dxa"/>
            <w:tcBorders>
              <w:top w:val="nil"/>
              <w:left w:val="single" w:sz="4" w:space="0" w:color="auto"/>
              <w:bottom w:val="single" w:sz="4" w:space="0" w:color="auto"/>
              <w:right w:val="single" w:sz="4" w:space="0" w:color="auto"/>
            </w:tcBorders>
            <w:shd w:val="clear" w:color="auto" w:fill="auto"/>
            <w:vAlign w:val="center"/>
          </w:tcPr>
          <w:p w:rsidR="00214103" w:rsidRPr="006E6F59" w:rsidRDefault="003228D6" w:rsidP="002A6C7D">
            <w:pPr>
              <w:jc w:val="right"/>
              <w:rPr>
                <w:sz w:val="18"/>
                <w:szCs w:val="18"/>
              </w:rPr>
            </w:pPr>
            <w:r w:rsidRPr="006E6F59">
              <w:rPr>
                <w:sz w:val="18"/>
                <w:szCs w:val="18"/>
              </w:rPr>
              <w:t>41 755,4</w:t>
            </w:r>
          </w:p>
          <w:p w:rsidR="00214103" w:rsidRPr="006E6F59" w:rsidRDefault="00214103" w:rsidP="002A6C7D">
            <w:pPr>
              <w:ind w:right="-57"/>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21 </w:t>
            </w:r>
            <w:r w:rsidRPr="004559C1">
              <w:rPr>
                <w:color w:val="000000"/>
                <w:sz w:val="18"/>
                <w:szCs w:val="18"/>
              </w:rPr>
              <w:t>545,7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21 </w:t>
            </w:r>
            <w:r w:rsidRPr="004559C1">
              <w:rPr>
                <w:color w:val="000000"/>
                <w:sz w:val="18"/>
                <w:szCs w:val="18"/>
              </w:rPr>
              <w:t>545,7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17</w:t>
            </w:r>
            <w:r w:rsidRPr="006C3806">
              <w:rPr>
                <w:color w:val="000000"/>
                <w:sz w:val="18"/>
                <w:szCs w:val="18"/>
                <w:lang w:val="en-US"/>
              </w:rPr>
              <w:t> </w:t>
            </w:r>
            <w:r w:rsidRPr="004559C1">
              <w:rPr>
                <w:color w:val="000000"/>
                <w:sz w:val="18"/>
                <w:szCs w:val="18"/>
              </w:rPr>
              <w:t>833,8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745E8C" w:rsidP="006E6F59">
            <w:pPr>
              <w:jc w:val="right"/>
              <w:rPr>
                <w:color w:val="000000"/>
                <w:sz w:val="18"/>
                <w:szCs w:val="18"/>
                <w:lang w:val="en-US"/>
              </w:rPr>
            </w:pPr>
            <w:r>
              <w:rPr>
                <w:color w:val="000000"/>
                <w:sz w:val="18"/>
                <w:szCs w:val="18"/>
              </w:rPr>
              <w:t>-</w:t>
            </w:r>
            <w:r w:rsidR="00214103" w:rsidRPr="006C3806">
              <w:rPr>
                <w:color w:val="000000"/>
                <w:sz w:val="18"/>
                <w:szCs w:val="18"/>
                <w:lang w:val="en-US"/>
              </w:rPr>
              <w:t>3 </w:t>
            </w:r>
            <w:r w:rsidR="00214103" w:rsidRPr="004559C1">
              <w:rPr>
                <w:color w:val="000000"/>
                <w:sz w:val="18"/>
                <w:szCs w:val="18"/>
                <w:lang w:val="en-US"/>
              </w:rPr>
              <w:t>711,9</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82,8%</w:t>
            </w:r>
          </w:p>
        </w:tc>
      </w:tr>
      <w:tr w:rsidR="006E6F59" w:rsidRPr="004559C1" w:rsidTr="00666492">
        <w:trPr>
          <w:trHeight w:val="20"/>
        </w:trPr>
        <w:tc>
          <w:tcPr>
            <w:tcW w:w="710" w:type="dxa"/>
            <w:tcBorders>
              <w:top w:val="nil"/>
              <w:left w:val="double" w:sz="4" w:space="0" w:color="auto"/>
              <w:bottom w:val="single" w:sz="4" w:space="0" w:color="auto"/>
              <w:right w:val="nil"/>
            </w:tcBorders>
            <w:vAlign w:val="center"/>
          </w:tcPr>
          <w:p w:rsidR="006E6F59" w:rsidRPr="004559C1" w:rsidRDefault="006E6F59" w:rsidP="001737FC">
            <w:pPr>
              <w:ind w:left="-57" w:right="-57"/>
              <w:jc w:val="center"/>
              <w:rPr>
                <w:sz w:val="16"/>
                <w:szCs w:val="16"/>
              </w:rPr>
            </w:pPr>
            <w:r w:rsidRPr="004559C1">
              <w:rPr>
                <w:sz w:val="16"/>
                <w:szCs w:val="16"/>
              </w:rPr>
              <w:t>0138014</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6E6F59" w:rsidRPr="004559C1" w:rsidRDefault="006E6F59" w:rsidP="001737FC">
            <w:pPr>
              <w:ind w:left="-57" w:right="-57"/>
              <w:rPr>
                <w:sz w:val="20"/>
                <w:szCs w:val="20"/>
              </w:rPr>
            </w:pPr>
            <w:r w:rsidRPr="004559C1">
              <w:rPr>
                <w:sz w:val="20"/>
                <w:szCs w:val="20"/>
              </w:rPr>
              <w:t>Уплата налогов и сборов</w:t>
            </w:r>
          </w:p>
        </w:tc>
        <w:tc>
          <w:tcPr>
            <w:tcW w:w="1134" w:type="dxa"/>
            <w:vMerge w:val="restart"/>
            <w:tcBorders>
              <w:top w:val="nil"/>
              <w:left w:val="single" w:sz="4" w:space="0" w:color="auto"/>
              <w:right w:val="single" w:sz="4" w:space="0" w:color="auto"/>
            </w:tcBorders>
            <w:shd w:val="clear" w:color="auto" w:fill="auto"/>
            <w:vAlign w:val="center"/>
          </w:tcPr>
          <w:p w:rsidR="006E6F59" w:rsidRPr="006E6F59" w:rsidRDefault="006E6F59" w:rsidP="006E6F59">
            <w:pPr>
              <w:ind w:right="-57"/>
              <w:jc w:val="right"/>
              <w:rPr>
                <w:sz w:val="18"/>
                <w:szCs w:val="18"/>
              </w:rPr>
            </w:pPr>
            <w:r w:rsidRPr="006E6F59">
              <w:rPr>
                <w:sz w:val="18"/>
                <w:szCs w:val="18"/>
              </w:rPr>
              <w:t>2 609,1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F59" w:rsidRPr="004559C1" w:rsidRDefault="006E6F59" w:rsidP="006E6F59">
            <w:pPr>
              <w:jc w:val="right"/>
              <w:rPr>
                <w:color w:val="000000"/>
                <w:sz w:val="18"/>
                <w:szCs w:val="18"/>
              </w:rPr>
            </w:pPr>
            <w:r w:rsidRPr="006C3806">
              <w:rPr>
                <w:color w:val="000000"/>
                <w:sz w:val="18"/>
                <w:szCs w:val="18"/>
              </w:rPr>
              <w:t>2 </w:t>
            </w:r>
            <w:r w:rsidRPr="004559C1">
              <w:rPr>
                <w:color w:val="000000"/>
                <w:sz w:val="18"/>
                <w:szCs w:val="18"/>
              </w:rPr>
              <w:t>677,2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6F59" w:rsidRPr="004559C1" w:rsidRDefault="006E6F59" w:rsidP="006E6F59">
            <w:pPr>
              <w:jc w:val="right"/>
              <w:rPr>
                <w:color w:val="000000"/>
                <w:sz w:val="18"/>
                <w:szCs w:val="18"/>
              </w:rPr>
            </w:pPr>
            <w:r w:rsidRPr="006C3806">
              <w:rPr>
                <w:color w:val="000000"/>
                <w:sz w:val="18"/>
                <w:szCs w:val="18"/>
              </w:rPr>
              <w:t>2 </w:t>
            </w:r>
            <w:r w:rsidRPr="004559C1">
              <w:rPr>
                <w:color w:val="000000"/>
                <w:sz w:val="18"/>
                <w:szCs w:val="18"/>
              </w:rPr>
              <w:t>531,3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6F59" w:rsidRPr="004559C1" w:rsidRDefault="006E6F59" w:rsidP="006E6F59">
            <w:pPr>
              <w:jc w:val="right"/>
              <w:rPr>
                <w:color w:val="000000"/>
                <w:sz w:val="18"/>
                <w:szCs w:val="18"/>
              </w:rPr>
            </w:pPr>
            <w:r w:rsidRPr="006C3806">
              <w:rPr>
                <w:color w:val="000000"/>
                <w:sz w:val="18"/>
                <w:szCs w:val="18"/>
              </w:rPr>
              <w:t>2</w:t>
            </w:r>
            <w:r w:rsidRPr="006C3806">
              <w:rPr>
                <w:color w:val="000000"/>
                <w:sz w:val="18"/>
                <w:szCs w:val="18"/>
                <w:lang w:val="en-US"/>
              </w:rPr>
              <w:t> </w:t>
            </w:r>
            <w:r w:rsidRPr="004559C1">
              <w:rPr>
                <w:color w:val="000000"/>
                <w:sz w:val="18"/>
                <w:szCs w:val="18"/>
              </w:rPr>
              <w:t>435,0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6F59" w:rsidRPr="004559C1" w:rsidRDefault="00745E8C" w:rsidP="006E6F59">
            <w:pPr>
              <w:jc w:val="right"/>
              <w:rPr>
                <w:color w:val="000000"/>
                <w:sz w:val="18"/>
                <w:szCs w:val="18"/>
                <w:lang w:val="en-US"/>
              </w:rPr>
            </w:pPr>
            <w:r>
              <w:rPr>
                <w:color w:val="000000"/>
                <w:sz w:val="18"/>
                <w:szCs w:val="18"/>
              </w:rPr>
              <w:t>-</w:t>
            </w:r>
            <w:r w:rsidR="006E6F59" w:rsidRPr="004559C1">
              <w:rPr>
                <w:color w:val="000000"/>
                <w:sz w:val="18"/>
                <w:szCs w:val="18"/>
                <w:lang w:val="en-US"/>
              </w:rPr>
              <w:t>242,2</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6E6F59" w:rsidRPr="004559C1" w:rsidRDefault="006E6F59" w:rsidP="006E6F59">
            <w:pPr>
              <w:jc w:val="right"/>
              <w:rPr>
                <w:color w:val="000000"/>
                <w:sz w:val="18"/>
                <w:szCs w:val="18"/>
              </w:rPr>
            </w:pPr>
            <w:r w:rsidRPr="004559C1">
              <w:rPr>
                <w:color w:val="000000"/>
                <w:sz w:val="18"/>
                <w:szCs w:val="18"/>
              </w:rPr>
              <w:t>91,0%</w:t>
            </w:r>
          </w:p>
        </w:tc>
      </w:tr>
      <w:tr w:rsidR="006E6F59" w:rsidRPr="004559C1" w:rsidTr="00666492">
        <w:trPr>
          <w:trHeight w:val="20"/>
        </w:trPr>
        <w:tc>
          <w:tcPr>
            <w:tcW w:w="710" w:type="dxa"/>
            <w:tcBorders>
              <w:top w:val="nil"/>
              <w:left w:val="double" w:sz="4" w:space="0" w:color="auto"/>
              <w:bottom w:val="single" w:sz="4" w:space="0" w:color="auto"/>
              <w:right w:val="nil"/>
            </w:tcBorders>
            <w:vAlign w:val="center"/>
          </w:tcPr>
          <w:p w:rsidR="006E6F59" w:rsidRPr="004559C1" w:rsidRDefault="006E6F59" w:rsidP="001737FC">
            <w:pPr>
              <w:ind w:left="-57" w:right="-57"/>
              <w:jc w:val="center"/>
              <w:rPr>
                <w:sz w:val="16"/>
                <w:szCs w:val="16"/>
              </w:rPr>
            </w:pPr>
            <w:r w:rsidRPr="004559C1">
              <w:rPr>
                <w:sz w:val="16"/>
                <w:szCs w:val="16"/>
              </w:rPr>
              <w:t>0138087</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6E6F59" w:rsidRPr="004559C1" w:rsidRDefault="006E6F59" w:rsidP="001737FC">
            <w:pPr>
              <w:ind w:left="-57" w:right="-57"/>
              <w:rPr>
                <w:sz w:val="20"/>
                <w:szCs w:val="20"/>
              </w:rPr>
            </w:pPr>
            <w:r w:rsidRPr="004559C1">
              <w:rPr>
                <w:sz w:val="20"/>
                <w:szCs w:val="20"/>
              </w:rPr>
              <w:t>Исполнение судебных актов</w:t>
            </w:r>
          </w:p>
        </w:tc>
        <w:tc>
          <w:tcPr>
            <w:tcW w:w="1134" w:type="dxa"/>
            <w:vMerge/>
            <w:tcBorders>
              <w:left w:val="single" w:sz="4" w:space="0" w:color="auto"/>
              <w:bottom w:val="single" w:sz="4" w:space="0" w:color="auto"/>
              <w:right w:val="single" w:sz="4" w:space="0" w:color="auto"/>
            </w:tcBorders>
            <w:shd w:val="clear" w:color="auto" w:fill="auto"/>
            <w:vAlign w:val="center"/>
          </w:tcPr>
          <w:p w:rsidR="006E6F59" w:rsidRPr="006E6F59" w:rsidRDefault="006E6F59" w:rsidP="006E6F59">
            <w:pPr>
              <w:ind w:right="-57"/>
              <w:jc w:val="right"/>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F59" w:rsidRPr="004559C1" w:rsidRDefault="006E6F59" w:rsidP="006E6F59">
            <w:pPr>
              <w:jc w:val="right"/>
              <w:rPr>
                <w:color w:val="000000"/>
                <w:sz w:val="18"/>
                <w:szCs w:val="18"/>
              </w:rPr>
            </w:pPr>
            <w:r w:rsidRPr="004559C1">
              <w:rPr>
                <w:color w:val="000000"/>
                <w:sz w:val="18"/>
                <w:szCs w:val="18"/>
              </w:rPr>
              <w:t>549,7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6F59" w:rsidRPr="004559C1" w:rsidRDefault="006E6F59" w:rsidP="006E6F59">
            <w:pPr>
              <w:jc w:val="right"/>
              <w:rPr>
                <w:color w:val="000000"/>
                <w:sz w:val="18"/>
                <w:szCs w:val="18"/>
              </w:rPr>
            </w:pPr>
            <w:r w:rsidRPr="004559C1">
              <w:rPr>
                <w:color w:val="000000"/>
                <w:sz w:val="18"/>
                <w:szCs w:val="18"/>
              </w:rPr>
              <w:t>549,7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6F59" w:rsidRPr="004559C1" w:rsidRDefault="006E6F59" w:rsidP="006E6F59">
            <w:pPr>
              <w:jc w:val="right"/>
              <w:rPr>
                <w:color w:val="000000"/>
                <w:sz w:val="18"/>
                <w:szCs w:val="18"/>
              </w:rPr>
            </w:pPr>
            <w:r w:rsidRPr="004559C1">
              <w:rPr>
                <w:color w:val="000000"/>
                <w:sz w:val="18"/>
                <w:szCs w:val="18"/>
              </w:rPr>
              <w:t>543,3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6F59" w:rsidRPr="004559C1" w:rsidRDefault="00745E8C" w:rsidP="006E6F59">
            <w:pPr>
              <w:jc w:val="right"/>
              <w:rPr>
                <w:color w:val="000000"/>
                <w:sz w:val="18"/>
                <w:szCs w:val="18"/>
                <w:lang w:val="en-US"/>
              </w:rPr>
            </w:pPr>
            <w:r>
              <w:rPr>
                <w:color w:val="000000"/>
                <w:sz w:val="18"/>
                <w:szCs w:val="18"/>
              </w:rPr>
              <w:t>-</w:t>
            </w:r>
            <w:r w:rsidR="006E6F59" w:rsidRPr="004559C1">
              <w:rPr>
                <w:color w:val="000000"/>
                <w:sz w:val="18"/>
                <w:szCs w:val="18"/>
                <w:lang w:val="en-US"/>
              </w:rPr>
              <w:t>6,5</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6E6F59" w:rsidRPr="004559C1" w:rsidRDefault="006E6F59" w:rsidP="006E6F59">
            <w:pPr>
              <w:jc w:val="right"/>
              <w:rPr>
                <w:color w:val="000000"/>
                <w:sz w:val="18"/>
                <w:szCs w:val="18"/>
              </w:rPr>
            </w:pPr>
            <w:r w:rsidRPr="004559C1">
              <w:rPr>
                <w:color w:val="000000"/>
                <w:sz w:val="18"/>
                <w:szCs w:val="18"/>
              </w:rPr>
              <w:t>98,8%</w:t>
            </w:r>
          </w:p>
        </w:tc>
      </w:tr>
      <w:tr w:rsidR="00214103" w:rsidRPr="004559C1" w:rsidTr="00666492">
        <w:trPr>
          <w:trHeight w:val="20"/>
        </w:trPr>
        <w:tc>
          <w:tcPr>
            <w:tcW w:w="710" w:type="dxa"/>
            <w:tcBorders>
              <w:top w:val="nil"/>
              <w:left w:val="double" w:sz="4" w:space="0" w:color="auto"/>
              <w:bottom w:val="single" w:sz="4" w:space="0" w:color="auto"/>
              <w:right w:val="nil"/>
            </w:tcBorders>
            <w:vAlign w:val="center"/>
          </w:tcPr>
          <w:p w:rsidR="00214103" w:rsidRPr="004559C1" w:rsidRDefault="00214103" w:rsidP="001737FC">
            <w:pPr>
              <w:ind w:left="-57" w:right="-57"/>
              <w:jc w:val="center"/>
              <w:rPr>
                <w:sz w:val="16"/>
                <w:szCs w:val="16"/>
              </w:rPr>
            </w:pPr>
            <w:r w:rsidRPr="004559C1">
              <w:rPr>
                <w:sz w:val="16"/>
                <w:szCs w:val="16"/>
              </w:rPr>
              <w:t>9000001</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214103" w:rsidRPr="004559C1" w:rsidRDefault="00214103" w:rsidP="001737FC">
            <w:pPr>
              <w:ind w:left="-57" w:right="-57"/>
              <w:rPr>
                <w:sz w:val="20"/>
                <w:szCs w:val="20"/>
              </w:rPr>
            </w:pPr>
            <w:r w:rsidRPr="004559C1">
              <w:rPr>
                <w:sz w:val="20"/>
                <w:szCs w:val="20"/>
              </w:rPr>
              <w:t>Обеспечение деятельности государственных органов Волгоградской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tcPr>
          <w:p w:rsidR="00214103" w:rsidRPr="006E6F59" w:rsidRDefault="003228D6" w:rsidP="00332BD1">
            <w:pPr>
              <w:ind w:left="-57" w:right="-57"/>
              <w:jc w:val="right"/>
              <w:rPr>
                <w:sz w:val="18"/>
                <w:szCs w:val="18"/>
              </w:rPr>
            </w:pPr>
            <w:r w:rsidRPr="006E6F59">
              <w:rPr>
                <w:sz w:val="18"/>
                <w:szCs w:val="18"/>
              </w:rPr>
              <w:t>45 </w:t>
            </w:r>
            <w:r w:rsidR="00332BD1">
              <w:rPr>
                <w:sz w:val="18"/>
                <w:szCs w:val="18"/>
              </w:rPr>
              <w:t>4</w:t>
            </w:r>
            <w:r w:rsidRPr="006E6F59">
              <w:rPr>
                <w:sz w:val="18"/>
                <w:szCs w:val="18"/>
              </w:rPr>
              <w:t>38,7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45 </w:t>
            </w:r>
            <w:r w:rsidRPr="004559C1">
              <w:rPr>
                <w:color w:val="000000"/>
                <w:sz w:val="18"/>
                <w:szCs w:val="18"/>
              </w:rPr>
              <w:t>279,6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45 </w:t>
            </w:r>
            <w:r w:rsidRPr="004559C1">
              <w:rPr>
                <w:color w:val="000000"/>
                <w:sz w:val="18"/>
                <w:szCs w:val="18"/>
              </w:rPr>
              <w:t>147,1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43</w:t>
            </w:r>
            <w:r w:rsidRPr="006C3806">
              <w:rPr>
                <w:color w:val="000000"/>
                <w:sz w:val="18"/>
                <w:szCs w:val="18"/>
                <w:lang w:val="en-US"/>
              </w:rPr>
              <w:t> </w:t>
            </w:r>
            <w:r w:rsidRPr="004559C1">
              <w:rPr>
                <w:color w:val="000000"/>
                <w:sz w:val="18"/>
                <w:szCs w:val="18"/>
              </w:rPr>
              <w:t>993,5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745E8C" w:rsidP="006E6F59">
            <w:pPr>
              <w:jc w:val="right"/>
              <w:rPr>
                <w:color w:val="000000"/>
                <w:sz w:val="18"/>
                <w:szCs w:val="18"/>
                <w:lang w:val="en-US"/>
              </w:rPr>
            </w:pPr>
            <w:r>
              <w:rPr>
                <w:color w:val="000000"/>
                <w:sz w:val="18"/>
                <w:szCs w:val="18"/>
              </w:rPr>
              <w:t>-</w:t>
            </w:r>
            <w:r w:rsidR="00214103" w:rsidRPr="006C3806">
              <w:rPr>
                <w:color w:val="000000"/>
                <w:sz w:val="18"/>
                <w:szCs w:val="18"/>
                <w:lang w:val="en-US"/>
              </w:rPr>
              <w:t>1 </w:t>
            </w:r>
            <w:r w:rsidR="00214103" w:rsidRPr="004559C1">
              <w:rPr>
                <w:color w:val="000000"/>
                <w:sz w:val="18"/>
                <w:szCs w:val="18"/>
                <w:lang w:val="en-US"/>
              </w:rPr>
              <w:t>286,1</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97,2%</w:t>
            </w:r>
          </w:p>
        </w:tc>
      </w:tr>
      <w:tr w:rsidR="00214103" w:rsidRPr="004559C1" w:rsidTr="00666492">
        <w:trPr>
          <w:trHeight w:val="20"/>
        </w:trPr>
        <w:tc>
          <w:tcPr>
            <w:tcW w:w="710" w:type="dxa"/>
            <w:tcBorders>
              <w:top w:val="nil"/>
              <w:left w:val="double" w:sz="4" w:space="0" w:color="auto"/>
              <w:bottom w:val="single" w:sz="4" w:space="0" w:color="auto"/>
              <w:right w:val="nil"/>
            </w:tcBorders>
            <w:vAlign w:val="center"/>
          </w:tcPr>
          <w:p w:rsidR="00214103" w:rsidRPr="004559C1" w:rsidRDefault="00214103" w:rsidP="001737FC">
            <w:pPr>
              <w:ind w:left="-57" w:right="-57"/>
              <w:jc w:val="center"/>
              <w:rPr>
                <w:sz w:val="16"/>
                <w:szCs w:val="16"/>
              </w:rPr>
            </w:pPr>
            <w:r w:rsidRPr="004559C1">
              <w:rPr>
                <w:sz w:val="16"/>
                <w:szCs w:val="16"/>
              </w:rPr>
              <w:t>9908014</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214103" w:rsidRPr="004559C1" w:rsidRDefault="00214103" w:rsidP="001737FC">
            <w:pPr>
              <w:ind w:left="-57" w:right="-57"/>
              <w:rPr>
                <w:sz w:val="20"/>
                <w:szCs w:val="20"/>
              </w:rPr>
            </w:pPr>
            <w:r w:rsidRPr="004559C1">
              <w:rPr>
                <w:sz w:val="20"/>
                <w:szCs w:val="20"/>
              </w:rPr>
              <w:t>Уплата налогов и сборов</w:t>
            </w:r>
          </w:p>
        </w:tc>
        <w:tc>
          <w:tcPr>
            <w:tcW w:w="1134" w:type="dxa"/>
            <w:tcBorders>
              <w:top w:val="nil"/>
              <w:left w:val="single" w:sz="4" w:space="0" w:color="auto"/>
              <w:bottom w:val="single" w:sz="4" w:space="0" w:color="auto"/>
              <w:right w:val="single" w:sz="4" w:space="0" w:color="auto"/>
            </w:tcBorders>
            <w:shd w:val="clear" w:color="auto" w:fill="auto"/>
            <w:vAlign w:val="center"/>
          </w:tcPr>
          <w:p w:rsidR="00214103" w:rsidRPr="006E6F59" w:rsidRDefault="003228D6" w:rsidP="006E6F59">
            <w:pPr>
              <w:ind w:right="-57"/>
              <w:jc w:val="right"/>
              <w:rPr>
                <w:sz w:val="18"/>
                <w:szCs w:val="18"/>
              </w:rPr>
            </w:pPr>
            <w:r w:rsidRPr="006E6F59">
              <w:rPr>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745E8C" w:rsidP="006E6F59">
            <w:pPr>
              <w:jc w:val="right"/>
              <w:rPr>
                <w:color w:val="000000"/>
                <w:sz w:val="18"/>
                <w:szCs w:val="18"/>
                <w:lang w:val="en-US"/>
              </w:rPr>
            </w:pPr>
            <w:r>
              <w:rPr>
                <w:color w:val="000000"/>
                <w:sz w:val="18"/>
                <w:szCs w:val="18"/>
              </w:rPr>
              <w:t>-</w:t>
            </w:r>
            <w:r w:rsidR="00214103" w:rsidRPr="004559C1">
              <w:rPr>
                <w:color w:val="000000"/>
                <w:sz w:val="18"/>
                <w:szCs w:val="18"/>
                <w:lang w:val="en-US"/>
              </w:rPr>
              <w:t>98,0</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2,0%</w:t>
            </w:r>
          </w:p>
        </w:tc>
      </w:tr>
      <w:tr w:rsidR="00214103" w:rsidRPr="004559C1" w:rsidTr="00666492">
        <w:trPr>
          <w:trHeight w:val="20"/>
        </w:trPr>
        <w:tc>
          <w:tcPr>
            <w:tcW w:w="710" w:type="dxa"/>
            <w:tcBorders>
              <w:top w:val="nil"/>
              <w:left w:val="double" w:sz="4" w:space="0" w:color="auto"/>
              <w:bottom w:val="single" w:sz="4" w:space="0" w:color="auto"/>
              <w:right w:val="nil"/>
            </w:tcBorders>
            <w:vAlign w:val="center"/>
          </w:tcPr>
          <w:p w:rsidR="00214103" w:rsidRPr="0025472E" w:rsidRDefault="00214103" w:rsidP="001737FC">
            <w:pPr>
              <w:ind w:left="-57" w:right="-57"/>
              <w:jc w:val="center"/>
              <w:rPr>
                <w:i/>
                <w:sz w:val="16"/>
                <w:szCs w:val="16"/>
              </w:rPr>
            </w:pPr>
            <w:r w:rsidRPr="0025472E">
              <w:rPr>
                <w:i/>
                <w:sz w:val="16"/>
                <w:szCs w:val="16"/>
              </w:rPr>
              <w:t>0310</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214103" w:rsidRPr="0025472E" w:rsidRDefault="00214103" w:rsidP="001737FC">
            <w:pPr>
              <w:ind w:left="-57" w:right="-57"/>
              <w:rPr>
                <w:i/>
                <w:sz w:val="20"/>
                <w:szCs w:val="20"/>
              </w:rPr>
            </w:pPr>
            <w:r w:rsidRPr="0025472E">
              <w:rPr>
                <w:i/>
                <w:sz w:val="20"/>
                <w:szCs w:val="20"/>
              </w:rPr>
              <w:t>Обеспечение пожарной безопасности</w:t>
            </w:r>
          </w:p>
        </w:tc>
        <w:tc>
          <w:tcPr>
            <w:tcW w:w="1134" w:type="dxa"/>
            <w:tcBorders>
              <w:top w:val="nil"/>
              <w:left w:val="single" w:sz="4" w:space="0" w:color="auto"/>
              <w:bottom w:val="single" w:sz="4" w:space="0" w:color="auto"/>
              <w:right w:val="single" w:sz="4" w:space="0" w:color="auto"/>
            </w:tcBorders>
            <w:shd w:val="clear" w:color="auto" w:fill="auto"/>
            <w:vAlign w:val="center"/>
          </w:tcPr>
          <w:p w:rsidR="00214103" w:rsidRPr="006E6F59" w:rsidRDefault="00A03935" w:rsidP="006E6F59">
            <w:pPr>
              <w:ind w:right="-57"/>
              <w:jc w:val="right"/>
              <w:rPr>
                <w:i/>
                <w:sz w:val="18"/>
                <w:szCs w:val="18"/>
              </w:rPr>
            </w:pPr>
            <w:r w:rsidRPr="006E6F59">
              <w:rPr>
                <w:i/>
                <w:sz w:val="18"/>
                <w:szCs w:val="18"/>
              </w:rPr>
              <w:t>258 327,4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103" w:rsidRPr="0025472E" w:rsidRDefault="00214103" w:rsidP="006E6F59">
            <w:pPr>
              <w:jc w:val="right"/>
              <w:rPr>
                <w:i/>
                <w:color w:val="000000"/>
                <w:sz w:val="18"/>
                <w:szCs w:val="18"/>
              </w:rPr>
            </w:pPr>
            <w:r w:rsidRPr="0025472E">
              <w:rPr>
                <w:i/>
                <w:color w:val="000000"/>
                <w:sz w:val="18"/>
                <w:szCs w:val="18"/>
              </w:rPr>
              <w:t>254 101,4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25472E" w:rsidRDefault="00214103" w:rsidP="006E6F59">
            <w:pPr>
              <w:jc w:val="right"/>
              <w:rPr>
                <w:i/>
                <w:color w:val="000000"/>
                <w:sz w:val="18"/>
                <w:szCs w:val="18"/>
              </w:rPr>
            </w:pPr>
            <w:r w:rsidRPr="0025472E">
              <w:rPr>
                <w:i/>
                <w:color w:val="000000"/>
                <w:sz w:val="18"/>
                <w:szCs w:val="18"/>
              </w:rPr>
              <w:t>253 212,3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4103" w:rsidRPr="0025472E" w:rsidRDefault="00214103" w:rsidP="006E6F59">
            <w:pPr>
              <w:jc w:val="right"/>
              <w:rPr>
                <w:i/>
                <w:color w:val="000000"/>
                <w:sz w:val="18"/>
                <w:szCs w:val="18"/>
              </w:rPr>
            </w:pPr>
            <w:r w:rsidRPr="0025472E">
              <w:rPr>
                <w:i/>
                <w:color w:val="000000"/>
                <w:sz w:val="18"/>
                <w:szCs w:val="18"/>
              </w:rPr>
              <w:t>242</w:t>
            </w:r>
            <w:r w:rsidRPr="0025472E">
              <w:rPr>
                <w:i/>
                <w:color w:val="000000"/>
                <w:sz w:val="18"/>
                <w:szCs w:val="18"/>
                <w:lang w:val="en-US"/>
              </w:rPr>
              <w:t> </w:t>
            </w:r>
            <w:r w:rsidRPr="0025472E">
              <w:rPr>
                <w:i/>
                <w:color w:val="000000"/>
                <w:sz w:val="18"/>
                <w:szCs w:val="18"/>
              </w:rPr>
              <w:t>164,2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25472E" w:rsidRDefault="00745E8C" w:rsidP="006E6F59">
            <w:pPr>
              <w:jc w:val="right"/>
              <w:rPr>
                <w:i/>
                <w:color w:val="000000"/>
                <w:sz w:val="18"/>
                <w:szCs w:val="18"/>
                <w:lang w:val="en-US"/>
              </w:rPr>
            </w:pPr>
            <w:r>
              <w:rPr>
                <w:i/>
                <w:color w:val="000000"/>
                <w:sz w:val="18"/>
                <w:szCs w:val="18"/>
              </w:rPr>
              <w:t>-</w:t>
            </w:r>
            <w:r w:rsidR="00214103" w:rsidRPr="0025472E">
              <w:rPr>
                <w:i/>
                <w:color w:val="000000"/>
                <w:sz w:val="18"/>
                <w:szCs w:val="18"/>
                <w:lang w:val="en-US"/>
              </w:rPr>
              <w:t>11 937,2</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214103" w:rsidRPr="0025472E" w:rsidRDefault="00214103" w:rsidP="006E6F59">
            <w:pPr>
              <w:jc w:val="right"/>
              <w:rPr>
                <w:i/>
                <w:color w:val="000000"/>
                <w:sz w:val="18"/>
                <w:szCs w:val="18"/>
              </w:rPr>
            </w:pPr>
            <w:r w:rsidRPr="0025472E">
              <w:rPr>
                <w:i/>
                <w:color w:val="000000"/>
                <w:sz w:val="18"/>
                <w:szCs w:val="18"/>
              </w:rPr>
              <w:t>95,3%</w:t>
            </w:r>
          </w:p>
        </w:tc>
      </w:tr>
      <w:tr w:rsidR="00214103" w:rsidRPr="004559C1" w:rsidTr="00666492">
        <w:trPr>
          <w:trHeight w:val="20"/>
        </w:trPr>
        <w:tc>
          <w:tcPr>
            <w:tcW w:w="710" w:type="dxa"/>
            <w:tcBorders>
              <w:top w:val="nil"/>
              <w:left w:val="double" w:sz="4" w:space="0" w:color="auto"/>
              <w:bottom w:val="single" w:sz="4" w:space="0" w:color="auto"/>
              <w:right w:val="nil"/>
            </w:tcBorders>
            <w:vAlign w:val="center"/>
          </w:tcPr>
          <w:p w:rsidR="00214103" w:rsidRPr="004559C1" w:rsidRDefault="00214103" w:rsidP="001737FC">
            <w:pPr>
              <w:ind w:left="-57" w:right="-57"/>
              <w:jc w:val="center"/>
              <w:rPr>
                <w:sz w:val="16"/>
                <w:szCs w:val="16"/>
              </w:rPr>
            </w:pPr>
            <w:r w:rsidRPr="004559C1">
              <w:rPr>
                <w:sz w:val="16"/>
                <w:szCs w:val="16"/>
              </w:rPr>
              <w:t>0110059</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214103" w:rsidRPr="004559C1" w:rsidRDefault="00214103" w:rsidP="001737FC">
            <w:pPr>
              <w:ind w:left="-57" w:right="-57"/>
              <w:rPr>
                <w:sz w:val="20"/>
                <w:szCs w:val="20"/>
              </w:rPr>
            </w:pPr>
            <w:r w:rsidRPr="004559C1">
              <w:rPr>
                <w:sz w:val="20"/>
                <w:szCs w:val="20"/>
              </w:rPr>
              <w:t>Расходы на обеспечение деятельности (оказание услуг) казенных учреждений</w:t>
            </w:r>
          </w:p>
        </w:tc>
        <w:tc>
          <w:tcPr>
            <w:tcW w:w="1134" w:type="dxa"/>
            <w:tcBorders>
              <w:top w:val="nil"/>
              <w:left w:val="single" w:sz="4" w:space="0" w:color="auto"/>
              <w:bottom w:val="single" w:sz="4" w:space="0" w:color="auto"/>
              <w:right w:val="single" w:sz="4" w:space="0" w:color="auto"/>
            </w:tcBorders>
            <w:shd w:val="clear" w:color="auto" w:fill="auto"/>
            <w:vAlign w:val="center"/>
          </w:tcPr>
          <w:p w:rsidR="00332BD1" w:rsidRPr="006E6F59" w:rsidRDefault="00332BD1" w:rsidP="00332BD1">
            <w:pPr>
              <w:jc w:val="right"/>
              <w:rPr>
                <w:sz w:val="18"/>
                <w:szCs w:val="18"/>
              </w:rPr>
            </w:pPr>
            <w:r>
              <w:rPr>
                <w:sz w:val="18"/>
                <w:szCs w:val="18"/>
              </w:rPr>
              <w:t>254 115,1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249 </w:t>
            </w:r>
            <w:r w:rsidRPr="004559C1">
              <w:rPr>
                <w:color w:val="000000"/>
                <w:sz w:val="18"/>
                <w:szCs w:val="18"/>
              </w:rPr>
              <w:t>158,3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248 </w:t>
            </w:r>
            <w:r w:rsidRPr="004559C1">
              <w:rPr>
                <w:color w:val="000000"/>
                <w:sz w:val="18"/>
                <w:szCs w:val="18"/>
              </w:rPr>
              <w:t>477,9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6C3806">
              <w:rPr>
                <w:color w:val="000000"/>
                <w:sz w:val="18"/>
                <w:szCs w:val="18"/>
              </w:rPr>
              <w:t>237</w:t>
            </w:r>
            <w:r w:rsidRPr="006C3806">
              <w:rPr>
                <w:color w:val="000000"/>
                <w:sz w:val="18"/>
                <w:szCs w:val="18"/>
                <w:lang w:val="en-US"/>
              </w:rPr>
              <w:t> </w:t>
            </w:r>
            <w:r w:rsidRPr="004559C1">
              <w:rPr>
                <w:color w:val="000000"/>
                <w:sz w:val="18"/>
                <w:szCs w:val="18"/>
              </w:rPr>
              <w:t>485,5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745E8C" w:rsidP="006E6F59">
            <w:pPr>
              <w:jc w:val="right"/>
              <w:rPr>
                <w:color w:val="000000"/>
                <w:sz w:val="18"/>
                <w:szCs w:val="18"/>
                <w:lang w:val="en-US"/>
              </w:rPr>
            </w:pPr>
            <w:r>
              <w:rPr>
                <w:color w:val="000000"/>
                <w:sz w:val="18"/>
                <w:szCs w:val="18"/>
              </w:rPr>
              <w:t>-</w:t>
            </w:r>
            <w:r w:rsidR="00214103" w:rsidRPr="006C3806">
              <w:rPr>
                <w:color w:val="000000"/>
                <w:sz w:val="18"/>
                <w:szCs w:val="18"/>
                <w:lang w:val="en-US"/>
              </w:rPr>
              <w:t>11 </w:t>
            </w:r>
            <w:r w:rsidR="00214103" w:rsidRPr="004559C1">
              <w:rPr>
                <w:color w:val="000000"/>
                <w:sz w:val="18"/>
                <w:szCs w:val="18"/>
                <w:lang w:val="en-US"/>
              </w:rPr>
              <w:t>672,8</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95,3%</w:t>
            </w:r>
          </w:p>
        </w:tc>
      </w:tr>
      <w:tr w:rsidR="006E6F59" w:rsidRPr="004559C1" w:rsidTr="00666492">
        <w:trPr>
          <w:trHeight w:val="20"/>
        </w:trPr>
        <w:tc>
          <w:tcPr>
            <w:tcW w:w="710" w:type="dxa"/>
            <w:tcBorders>
              <w:top w:val="nil"/>
              <w:left w:val="double" w:sz="4" w:space="0" w:color="auto"/>
              <w:bottom w:val="single" w:sz="4" w:space="0" w:color="auto"/>
              <w:right w:val="nil"/>
            </w:tcBorders>
            <w:vAlign w:val="center"/>
          </w:tcPr>
          <w:p w:rsidR="006E6F59" w:rsidRPr="004559C1" w:rsidRDefault="006E6F59" w:rsidP="001737FC">
            <w:pPr>
              <w:ind w:left="-57" w:right="-57"/>
              <w:jc w:val="center"/>
              <w:rPr>
                <w:sz w:val="16"/>
                <w:szCs w:val="16"/>
              </w:rPr>
            </w:pPr>
            <w:r w:rsidRPr="004559C1">
              <w:rPr>
                <w:sz w:val="16"/>
                <w:szCs w:val="16"/>
              </w:rPr>
              <w:t>0118014</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6E6F59" w:rsidRPr="004559C1" w:rsidRDefault="006E6F59" w:rsidP="001737FC">
            <w:pPr>
              <w:ind w:left="-57" w:right="-57"/>
              <w:rPr>
                <w:sz w:val="20"/>
                <w:szCs w:val="20"/>
              </w:rPr>
            </w:pPr>
            <w:r w:rsidRPr="004559C1">
              <w:rPr>
                <w:sz w:val="20"/>
                <w:szCs w:val="20"/>
              </w:rPr>
              <w:t xml:space="preserve">Уплата налогов и сборов </w:t>
            </w:r>
          </w:p>
        </w:tc>
        <w:tc>
          <w:tcPr>
            <w:tcW w:w="1134" w:type="dxa"/>
            <w:vMerge w:val="restart"/>
            <w:tcBorders>
              <w:top w:val="nil"/>
              <w:left w:val="single" w:sz="4" w:space="0" w:color="auto"/>
              <w:right w:val="single" w:sz="4" w:space="0" w:color="auto"/>
            </w:tcBorders>
            <w:shd w:val="clear" w:color="auto" w:fill="auto"/>
            <w:vAlign w:val="center"/>
          </w:tcPr>
          <w:p w:rsidR="006E6F59" w:rsidRPr="006E6F59" w:rsidRDefault="006E6F59" w:rsidP="006E6F59">
            <w:pPr>
              <w:ind w:right="-57"/>
              <w:jc w:val="right"/>
              <w:rPr>
                <w:sz w:val="18"/>
                <w:szCs w:val="18"/>
              </w:rPr>
            </w:pPr>
            <w:r w:rsidRPr="006E6F59">
              <w:rPr>
                <w:sz w:val="18"/>
                <w:szCs w:val="18"/>
              </w:rPr>
              <w:t>4 212,3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F59" w:rsidRPr="004559C1" w:rsidRDefault="006E6F59" w:rsidP="006E6F59">
            <w:pPr>
              <w:jc w:val="right"/>
              <w:rPr>
                <w:color w:val="000000"/>
                <w:sz w:val="18"/>
                <w:szCs w:val="18"/>
              </w:rPr>
            </w:pPr>
            <w:r w:rsidRPr="006C3806">
              <w:rPr>
                <w:color w:val="000000"/>
                <w:sz w:val="18"/>
                <w:szCs w:val="18"/>
              </w:rPr>
              <w:t>4 </w:t>
            </w:r>
            <w:r w:rsidRPr="004559C1">
              <w:rPr>
                <w:color w:val="000000"/>
                <w:sz w:val="18"/>
                <w:szCs w:val="18"/>
              </w:rPr>
              <w:t>433,2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6F59" w:rsidRPr="004559C1" w:rsidRDefault="006E6F59" w:rsidP="006E6F59">
            <w:pPr>
              <w:jc w:val="right"/>
              <w:rPr>
                <w:color w:val="000000"/>
                <w:sz w:val="18"/>
                <w:szCs w:val="18"/>
              </w:rPr>
            </w:pPr>
            <w:r w:rsidRPr="006C3806">
              <w:rPr>
                <w:color w:val="000000"/>
                <w:sz w:val="18"/>
                <w:szCs w:val="18"/>
              </w:rPr>
              <w:t>4 </w:t>
            </w:r>
            <w:r w:rsidRPr="004559C1">
              <w:rPr>
                <w:color w:val="000000"/>
                <w:sz w:val="18"/>
                <w:szCs w:val="18"/>
              </w:rPr>
              <w:t>224,5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6F59" w:rsidRPr="004559C1" w:rsidRDefault="006E6F59" w:rsidP="006E6F59">
            <w:pPr>
              <w:jc w:val="right"/>
              <w:rPr>
                <w:color w:val="000000"/>
                <w:sz w:val="18"/>
                <w:szCs w:val="18"/>
              </w:rPr>
            </w:pPr>
            <w:r w:rsidRPr="006C3806">
              <w:rPr>
                <w:color w:val="000000"/>
                <w:sz w:val="18"/>
                <w:szCs w:val="18"/>
              </w:rPr>
              <w:t>4</w:t>
            </w:r>
            <w:r w:rsidRPr="006C3806">
              <w:rPr>
                <w:color w:val="000000"/>
                <w:sz w:val="18"/>
                <w:szCs w:val="18"/>
                <w:lang w:val="en-US"/>
              </w:rPr>
              <w:t> </w:t>
            </w:r>
            <w:r w:rsidRPr="004559C1">
              <w:rPr>
                <w:color w:val="000000"/>
                <w:sz w:val="18"/>
                <w:szCs w:val="18"/>
              </w:rPr>
              <w:t>171,1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6F59" w:rsidRPr="004559C1" w:rsidRDefault="00745E8C" w:rsidP="006E6F59">
            <w:pPr>
              <w:jc w:val="right"/>
              <w:rPr>
                <w:color w:val="000000"/>
                <w:sz w:val="18"/>
                <w:szCs w:val="18"/>
                <w:lang w:val="en-US"/>
              </w:rPr>
            </w:pPr>
            <w:r>
              <w:rPr>
                <w:color w:val="000000"/>
                <w:sz w:val="18"/>
                <w:szCs w:val="18"/>
              </w:rPr>
              <w:t>-</w:t>
            </w:r>
            <w:r w:rsidR="006E6F59" w:rsidRPr="004559C1">
              <w:rPr>
                <w:color w:val="000000"/>
                <w:sz w:val="18"/>
                <w:szCs w:val="18"/>
                <w:lang w:val="en-US"/>
              </w:rPr>
              <w:t>262,1</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6E6F59" w:rsidRPr="004559C1" w:rsidRDefault="006E6F59" w:rsidP="006E6F59">
            <w:pPr>
              <w:jc w:val="right"/>
              <w:rPr>
                <w:color w:val="000000"/>
                <w:sz w:val="18"/>
                <w:szCs w:val="18"/>
              </w:rPr>
            </w:pPr>
            <w:r w:rsidRPr="004559C1">
              <w:rPr>
                <w:color w:val="000000"/>
                <w:sz w:val="18"/>
                <w:szCs w:val="18"/>
              </w:rPr>
              <w:t>94,1%</w:t>
            </w:r>
          </w:p>
        </w:tc>
      </w:tr>
      <w:tr w:rsidR="006E6F59" w:rsidRPr="004559C1" w:rsidTr="00666492">
        <w:trPr>
          <w:trHeight w:val="20"/>
        </w:trPr>
        <w:tc>
          <w:tcPr>
            <w:tcW w:w="710" w:type="dxa"/>
            <w:tcBorders>
              <w:top w:val="nil"/>
              <w:left w:val="double" w:sz="4" w:space="0" w:color="auto"/>
              <w:bottom w:val="single" w:sz="4" w:space="0" w:color="auto"/>
              <w:right w:val="nil"/>
            </w:tcBorders>
            <w:vAlign w:val="center"/>
          </w:tcPr>
          <w:p w:rsidR="006E6F59" w:rsidRPr="004559C1" w:rsidRDefault="006E6F59" w:rsidP="001737FC">
            <w:pPr>
              <w:ind w:left="-57" w:right="-57"/>
              <w:jc w:val="center"/>
              <w:rPr>
                <w:sz w:val="16"/>
                <w:szCs w:val="16"/>
              </w:rPr>
            </w:pPr>
            <w:r w:rsidRPr="004559C1">
              <w:rPr>
                <w:sz w:val="16"/>
                <w:szCs w:val="16"/>
              </w:rPr>
              <w:t>0118087</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6E6F59" w:rsidRPr="004559C1" w:rsidRDefault="006E6F59" w:rsidP="001737FC">
            <w:pPr>
              <w:ind w:left="-57" w:right="-57"/>
              <w:rPr>
                <w:sz w:val="20"/>
                <w:szCs w:val="20"/>
              </w:rPr>
            </w:pPr>
            <w:r w:rsidRPr="004559C1">
              <w:rPr>
                <w:sz w:val="20"/>
                <w:szCs w:val="20"/>
              </w:rPr>
              <w:t>Исполнение судебных актов</w:t>
            </w:r>
          </w:p>
        </w:tc>
        <w:tc>
          <w:tcPr>
            <w:tcW w:w="1134" w:type="dxa"/>
            <w:vMerge/>
            <w:tcBorders>
              <w:left w:val="single" w:sz="4" w:space="0" w:color="auto"/>
              <w:bottom w:val="single" w:sz="4" w:space="0" w:color="auto"/>
              <w:right w:val="single" w:sz="4" w:space="0" w:color="auto"/>
            </w:tcBorders>
            <w:shd w:val="clear" w:color="auto" w:fill="auto"/>
            <w:vAlign w:val="center"/>
          </w:tcPr>
          <w:p w:rsidR="006E6F59" w:rsidRPr="006E6F59" w:rsidRDefault="006E6F59" w:rsidP="006E6F59">
            <w:pPr>
              <w:ind w:right="-57"/>
              <w:jc w:val="right"/>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F59" w:rsidRPr="004559C1" w:rsidRDefault="006E6F59" w:rsidP="006E6F59">
            <w:pPr>
              <w:jc w:val="right"/>
              <w:rPr>
                <w:color w:val="000000"/>
                <w:sz w:val="18"/>
                <w:szCs w:val="18"/>
              </w:rPr>
            </w:pPr>
            <w:r w:rsidRPr="004559C1">
              <w:rPr>
                <w:color w:val="000000"/>
                <w:sz w:val="18"/>
                <w:szCs w:val="18"/>
              </w:rPr>
              <w:t>306,5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6F59" w:rsidRPr="004559C1" w:rsidRDefault="006E6F59" w:rsidP="006E6F59">
            <w:pPr>
              <w:jc w:val="right"/>
              <w:rPr>
                <w:color w:val="000000"/>
                <w:sz w:val="18"/>
                <w:szCs w:val="18"/>
              </w:rPr>
            </w:pPr>
            <w:r w:rsidRPr="004559C1">
              <w:rPr>
                <w:color w:val="000000"/>
                <w:sz w:val="18"/>
                <w:szCs w:val="18"/>
              </w:rPr>
              <w:t>306,5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E6F59" w:rsidRPr="004559C1" w:rsidRDefault="006E6F59" w:rsidP="006E6F59">
            <w:pPr>
              <w:jc w:val="right"/>
              <w:rPr>
                <w:color w:val="000000"/>
                <w:sz w:val="18"/>
                <w:szCs w:val="18"/>
              </w:rPr>
            </w:pPr>
            <w:r w:rsidRPr="004559C1">
              <w:rPr>
                <w:color w:val="000000"/>
                <w:sz w:val="18"/>
                <w:szCs w:val="18"/>
              </w:rPr>
              <w:t>304,2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6F59" w:rsidRPr="004559C1" w:rsidRDefault="00745E8C" w:rsidP="006E6F59">
            <w:pPr>
              <w:jc w:val="right"/>
              <w:rPr>
                <w:color w:val="000000"/>
                <w:sz w:val="18"/>
                <w:szCs w:val="18"/>
              </w:rPr>
            </w:pPr>
            <w:r>
              <w:rPr>
                <w:color w:val="000000"/>
                <w:sz w:val="18"/>
                <w:szCs w:val="18"/>
              </w:rPr>
              <w:t>-</w:t>
            </w:r>
            <w:r w:rsidR="006E6F59" w:rsidRPr="004559C1">
              <w:rPr>
                <w:color w:val="000000"/>
                <w:sz w:val="18"/>
                <w:szCs w:val="18"/>
              </w:rPr>
              <w:t>2,3</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6E6F59" w:rsidRPr="004559C1" w:rsidRDefault="006E6F59" w:rsidP="006E6F59">
            <w:pPr>
              <w:jc w:val="right"/>
              <w:rPr>
                <w:color w:val="000000"/>
                <w:sz w:val="18"/>
                <w:szCs w:val="18"/>
              </w:rPr>
            </w:pPr>
            <w:r w:rsidRPr="004559C1">
              <w:rPr>
                <w:color w:val="000000"/>
                <w:sz w:val="18"/>
                <w:szCs w:val="18"/>
              </w:rPr>
              <w:t>99,3%</w:t>
            </w:r>
          </w:p>
        </w:tc>
      </w:tr>
      <w:tr w:rsidR="00214103" w:rsidRPr="004559C1" w:rsidTr="00666492">
        <w:trPr>
          <w:trHeight w:val="20"/>
        </w:trPr>
        <w:tc>
          <w:tcPr>
            <w:tcW w:w="710" w:type="dxa"/>
            <w:tcBorders>
              <w:top w:val="nil"/>
              <w:left w:val="double" w:sz="4" w:space="0" w:color="auto"/>
              <w:bottom w:val="single" w:sz="4" w:space="0" w:color="auto"/>
              <w:right w:val="nil"/>
            </w:tcBorders>
            <w:vAlign w:val="center"/>
          </w:tcPr>
          <w:p w:rsidR="00214103" w:rsidRPr="004559C1" w:rsidRDefault="00214103" w:rsidP="001737FC">
            <w:pPr>
              <w:ind w:left="-57" w:right="-57"/>
              <w:jc w:val="center"/>
              <w:rPr>
                <w:sz w:val="16"/>
                <w:szCs w:val="16"/>
              </w:rPr>
            </w:pPr>
            <w:r w:rsidRPr="004559C1">
              <w:rPr>
                <w:sz w:val="16"/>
                <w:szCs w:val="16"/>
              </w:rPr>
              <w:t>9908067</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214103" w:rsidRPr="004559C1" w:rsidRDefault="00214103" w:rsidP="001737FC">
            <w:pPr>
              <w:ind w:left="-57" w:right="-57"/>
              <w:rPr>
                <w:sz w:val="20"/>
                <w:szCs w:val="20"/>
              </w:rPr>
            </w:pPr>
            <w:r w:rsidRPr="004559C1">
              <w:rPr>
                <w:sz w:val="20"/>
                <w:szCs w:val="20"/>
              </w:rPr>
              <w:t>Резервный фонд Администрации Волгоградской области</w:t>
            </w:r>
          </w:p>
        </w:tc>
        <w:tc>
          <w:tcPr>
            <w:tcW w:w="1134" w:type="dxa"/>
            <w:tcBorders>
              <w:top w:val="nil"/>
              <w:left w:val="single" w:sz="4" w:space="0" w:color="auto"/>
              <w:bottom w:val="single" w:sz="4" w:space="0" w:color="auto"/>
              <w:right w:val="single" w:sz="4" w:space="0" w:color="auto"/>
            </w:tcBorders>
            <w:shd w:val="clear" w:color="auto" w:fill="auto"/>
            <w:vAlign w:val="center"/>
          </w:tcPr>
          <w:p w:rsidR="00214103" w:rsidRPr="006E6F59" w:rsidRDefault="006E6F59" w:rsidP="006E6F59">
            <w:pPr>
              <w:jc w:val="right"/>
              <w:rPr>
                <w:sz w:val="18"/>
                <w:szCs w:val="18"/>
              </w:rPr>
            </w:pPr>
            <w:r w:rsidRPr="006E6F59">
              <w:rPr>
                <w:sz w:val="18"/>
                <w:szCs w:val="18"/>
              </w:rPr>
              <w:t>-</w:t>
            </w:r>
          </w:p>
          <w:p w:rsidR="00214103" w:rsidRPr="006E6F59" w:rsidRDefault="00214103" w:rsidP="006E6F59">
            <w:pPr>
              <w:ind w:right="-57"/>
              <w:jc w:val="right"/>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203,4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203,4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203,4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4559C1" w:rsidRDefault="00214103" w:rsidP="006E6F59">
            <w:pPr>
              <w:jc w:val="right"/>
              <w:rPr>
                <w:color w:val="000000"/>
                <w:sz w:val="18"/>
                <w:szCs w:val="18"/>
                <w:lang w:val="en-US"/>
              </w:rPr>
            </w:pPr>
            <w:r w:rsidRPr="004559C1">
              <w:rPr>
                <w:color w:val="000000"/>
                <w:sz w:val="18"/>
                <w:szCs w:val="18"/>
                <w:lang w:val="en-US"/>
              </w:rPr>
              <w:t>0,0</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214103" w:rsidRPr="004559C1" w:rsidRDefault="00214103" w:rsidP="006E6F59">
            <w:pPr>
              <w:jc w:val="right"/>
              <w:rPr>
                <w:color w:val="000000"/>
                <w:sz w:val="18"/>
                <w:szCs w:val="18"/>
              </w:rPr>
            </w:pPr>
            <w:r w:rsidRPr="004559C1">
              <w:rPr>
                <w:color w:val="000000"/>
                <w:sz w:val="18"/>
                <w:szCs w:val="18"/>
              </w:rPr>
              <w:t>100,0%</w:t>
            </w:r>
          </w:p>
        </w:tc>
      </w:tr>
      <w:tr w:rsidR="00214103" w:rsidRPr="004559C1" w:rsidTr="00666492">
        <w:trPr>
          <w:trHeight w:val="20"/>
        </w:trPr>
        <w:tc>
          <w:tcPr>
            <w:tcW w:w="710" w:type="dxa"/>
            <w:tcBorders>
              <w:top w:val="nil"/>
              <w:left w:val="double" w:sz="4" w:space="0" w:color="auto"/>
              <w:bottom w:val="single" w:sz="4" w:space="0" w:color="auto"/>
              <w:right w:val="nil"/>
            </w:tcBorders>
            <w:vAlign w:val="center"/>
          </w:tcPr>
          <w:p w:rsidR="00214103" w:rsidRPr="0025472E" w:rsidRDefault="00214103" w:rsidP="001737FC">
            <w:pPr>
              <w:ind w:left="-57" w:right="-57"/>
              <w:jc w:val="center"/>
              <w:rPr>
                <w:b/>
                <w:i/>
                <w:sz w:val="16"/>
                <w:szCs w:val="16"/>
              </w:rPr>
            </w:pPr>
            <w:r w:rsidRPr="0025472E">
              <w:rPr>
                <w:b/>
                <w:i/>
                <w:sz w:val="16"/>
                <w:szCs w:val="16"/>
              </w:rPr>
              <w:t>0700</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214103" w:rsidRPr="0025472E" w:rsidRDefault="00214103" w:rsidP="001737FC">
            <w:pPr>
              <w:ind w:left="-57" w:right="-57"/>
              <w:rPr>
                <w:b/>
                <w:i/>
                <w:sz w:val="20"/>
                <w:szCs w:val="20"/>
              </w:rPr>
            </w:pPr>
            <w:r w:rsidRPr="0025472E">
              <w:rPr>
                <w:b/>
                <w:i/>
                <w:sz w:val="20"/>
                <w:szCs w:val="20"/>
              </w:rPr>
              <w:t>Образование</w:t>
            </w:r>
          </w:p>
        </w:tc>
        <w:tc>
          <w:tcPr>
            <w:tcW w:w="1134" w:type="dxa"/>
            <w:tcBorders>
              <w:top w:val="nil"/>
              <w:left w:val="single" w:sz="4" w:space="0" w:color="auto"/>
              <w:bottom w:val="single" w:sz="4" w:space="0" w:color="auto"/>
              <w:right w:val="single" w:sz="4" w:space="0" w:color="auto"/>
            </w:tcBorders>
            <w:shd w:val="clear" w:color="auto" w:fill="auto"/>
            <w:vAlign w:val="center"/>
          </w:tcPr>
          <w:p w:rsidR="00214103" w:rsidRPr="006E6F59" w:rsidRDefault="00A03935" w:rsidP="006E6F59">
            <w:pPr>
              <w:ind w:right="-57"/>
              <w:jc w:val="right"/>
              <w:rPr>
                <w:b/>
                <w:i/>
                <w:sz w:val="18"/>
                <w:szCs w:val="18"/>
              </w:rPr>
            </w:pPr>
            <w:r w:rsidRPr="006E6F59">
              <w:rPr>
                <w:b/>
                <w:i/>
                <w:sz w:val="18"/>
                <w:szCs w:val="18"/>
              </w:rPr>
              <w:t>15 586,2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103" w:rsidRPr="0025472E" w:rsidRDefault="00214103" w:rsidP="006E6F59">
            <w:pPr>
              <w:jc w:val="right"/>
              <w:rPr>
                <w:b/>
                <w:i/>
                <w:color w:val="000000"/>
                <w:sz w:val="18"/>
                <w:szCs w:val="18"/>
              </w:rPr>
            </w:pPr>
            <w:r w:rsidRPr="0025472E">
              <w:rPr>
                <w:b/>
                <w:i/>
                <w:color w:val="000000"/>
                <w:sz w:val="18"/>
                <w:szCs w:val="18"/>
              </w:rPr>
              <w:t>14 985,2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25472E" w:rsidRDefault="00214103" w:rsidP="006E6F59">
            <w:pPr>
              <w:jc w:val="right"/>
              <w:rPr>
                <w:b/>
                <w:i/>
                <w:color w:val="000000"/>
                <w:sz w:val="18"/>
                <w:szCs w:val="18"/>
              </w:rPr>
            </w:pPr>
            <w:r w:rsidRPr="0025472E">
              <w:rPr>
                <w:b/>
                <w:i/>
                <w:color w:val="000000"/>
                <w:sz w:val="18"/>
                <w:szCs w:val="18"/>
              </w:rPr>
              <w:t>14 983,0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4103" w:rsidRPr="0025472E" w:rsidRDefault="00214103" w:rsidP="006E6F59">
            <w:pPr>
              <w:jc w:val="right"/>
              <w:rPr>
                <w:b/>
                <w:i/>
                <w:color w:val="000000"/>
                <w:sz w:val="18"/>
                <w:szCs w:val="18"/>
              </w:rPr>
            </w:pPr>
            <w:r w:rsidRPr="0025472E">
              <w:rPr>
                <w:b/>
                <w:i/>
                <w:color w:val="000000"/>
                <w:sz w:val="18"/>
                <w:szCs w:val="18"/>
              </w:rPr>
              <w:t>13</w:t>
            </w:r>
            <w:r w:rsidRPr="0025472E">
              <w:rPr>
                <w:b/>
                <w:i/>
                <w:color w:val="000000"/>
                <w:sz w:val="18"/>
                <w:szCs w:val="18"/>
                <w:lang w:val="en-US"/>
              </w:rPr>
              <w:t> </w:t>
            </w:r>
            <w:r w:rsidRPr="0025472E">
              <w:rPr>
                <w:b/>
                <w:i/>
                <w:color w:val="000000"/>
                <w:sz w:val="18"/>
                <w:szCs w:val="18"/>
              </w:rPr>
              <w:t>873,6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103" w:rsidRPr="0025472E" w:rsidRDefault="00745E8C" w:rsidP="006E6F59">
            <w:pPr>
              <w:jc w:val="right"/>
              <w:rPr>
                <w:b/>
                <w:i/>
                <w:color w:val="000000"/>
                <w:sz w:val="18"/>
                <w:szCs w:val="18"/>
              </w:rPr>
            </w:pPr>
            <w:r>
              <w:rPr>
                <w:b/>
                <w:i/>
                <w:color w:val="000000"/>
                <w:sz w:val="18"/>
                <w:szCs w:val="18"/>
              </w:rPr>
              <w:t>-</w:t>
            </w:r>
            <w:r w:rsidR="00214103" w:rsidRPr="0025472E">
              <w:rPr>
                <w:b/>
                <w:i/>
                <w:color w:val="000000"/>
                <w:sz w:val="18"/>
                <w:szCs w:val="18"/>
                <w:lang w:val="en-US"/>
              </w:rPr>
              <w:t>1 111,</w:t>
            </w:r>
            <w:r w:rsidR="00214103" w:rsidRPr="0025472E">
              <w:rPr>
                <w:b/>
                <w:i/>
                <w:color w:val="000000"/>
                <w:sz w:val="18"/>
                <w:szCs w:val="18"/>
              </w:rPr>
              <w:t>6</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214103" w:rsidRPr="0025472E" w:rsidRDefault="00214103" w:rsidP="006E6F59">
            <w:pPr>
              <w:jc w:val="right"/>
              <w:rPr>
                <w:b/>
                <w:i/>
                <w:color w:val="000000"/>
                <w:sz w:val="18"/>
                <w:szCs w:val="18"/>
              </w:rPr>
            </w:pPr>
            <w:r w:rsidRPr="0025472E">
              <w:rPr>
                <w:b/>
                <w:i/>
                <w:color w:val="000000"/>
                <w:sz w:val="18"/>
                <w:szCs w:val="18"/>
              </w:rPr>
              <w:t>92,6%</w:t>
            </w:r>
          </w:p>
        </w:tc>
      </w:tr>
      <w:tr w:rsidR="00A03935" w:rsidRPr="004559C1" w:rsidTr="00666492">
        <w:trPr>
          <w:trHeight w:val="20"/>
        </w:trPr>
        <w:tc>
          <w:tcPr>
            <w:tcW w:w="710" w:type="dxa"/>
            <w:tcBorders>
              <w:top w:val="nil"/>
              <w:left w:val="double" w:sz="4" w:space="0" w:color="auto"/>
              <w:bottom w:val="single" w:sz="4" w:space="0" w:color="auto"/>
              <w:right w:val="nil"/>
            </w:tcBorders>
            <w:vAlign w:val="center"/>
          </w:tcPr>
          <w:p w:rsidR="00A03935" w:rsidRPr="0025472E" w:rsidRDefault="00A03935" w:rsidP="001737FC">
            <w:pPr>
              <w:ind w:left="-57" w:right="-57"/>
              <w:jc w:val="center"/>
              <w:rPr>
                <w:i/>
                <w:sz w:val="16"/>
                <w:szCs w:val="16"/>
              </w:rPr>
            </w:pPr>
            <w:r w:rsidRPr="0025472E">
              <w:rPr>
                <w:i/>
                <w:sz w:val="16"/>
                <w:szCs w:val="16"/>
              </w:rPr>
              <w:t>0705</w:t>
            </w:r>
          </w:p>
        </w:tc>
        <w:tc>
          <w:tcPr>
            <w:tcW w:w="3685" w:type="dxa"/>
            <w:tcBorders>
              <w:top w:val="nil"/>
              <w:left w:val="single" w:sz="8" w:space="0" w:color="auto"/>
              <w:bottom w:val="single" w:sz="4" w:space="0" w:color="auto"/>
              <w:right w:val="single" w:sz="4" w:space="0" w:color="auto"/>
            </w:tcBorders>
            <w:shd w:val="clear" w:color="auto" w:fill="auto"/>
            <w:vAlign w:val="center"/>
            <w:hideMark/>
          </w:tcPr>
          <w:p w:rsidR="00A03935" w:rsidRPr="0025472E" w:rsidRDefault="00A03935" w:rsidP="001737FC">
            <w:pPr>
              <w:ind w:left="-57" w:right="-57"/>
              <w:rPr>
                <w:i/>
                <w:sz w:val="20"/>
                <w:szCs w:val="20"/>
              </w:rPr>
            </w:pPr>
            <w:r w:rsidRPr="0025472E">
              <w:rPr>
                <w:i/>
                <w:sz w:val="20"/>
                <w:szCs w:val="20"/>
              </w:rPr>
              <w:t>Профессиональная подготовка, переподготовка и повышение квалификации</w:t>
            </w:r>
          </w:p>
        </w:tc>
        <w:tc>
          <w:tcPr>
            <w:tcW w:w="1134" w:type="dxa"/>
            <w:tcBorders>
              <w:top w:val="nil"/>
              <w:left w:val="single" w:sz="4" w:space="0" w:color="auto"/>
              <w:bottom w:val="single" w:sz="4" w:space="0" w:color="auto"/>
              <w:right w:val="single" w:sz="4" w:space="0" w:color="auto"/>
            </w:tcBorders>
            <w:shd w:val="clear" w:color="auto" w:fill="auto"/>
            <w:vAlign w:val="center"/>
          </w:tcPr>
          <w:p w:rsidR="00A03935" w:rsidRPr="006E6F59" w:rsidRDefault="00A03935" w:rsidP="006E6F59">
            <w:pPr>
              <w:ind w:right="-57"/>
              <w:jc w:val="right"/>
              <w:rPr>
                <w:i/>
                <w:sz w:val="18"/>
                <w:szCs w:val="18"/>
              </w:rPr>
            </w:pPr>
            <w:r w:rsidRPr="006E6F59">
              <w:rPr>
                <w:i/>
                <w:sz w:val="18"/>
                <w:szCs w:val="18"/>
              </w:rPr>
              <w:t>15 586,2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935" w:rsidRPr="0025472E" w:rsidRDefault="00A03935" w:rsidP="006E6F59">
            <w:pPr>
              <w:jc w:val="right"/>
              <w:rPr>
                <w:i/>
                <w:color w:val="000000"/>
                <w:sz w:val="18"/>
                <w:szCs w:val="18"/>
              </w:rPr>
            </w:pPr>
            <w:r w:rsidRPr="0025472E">
              <w:rPr>
                <w:i/>
                <w:color w:val="000000"/>
                <w:sz w:val="18"/>
                <w:szCs w:val="18"/>
              </w:rPr>
              <w:t>14 985,2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3935" w:rsidRPr="0025472E" w:rsidRDefault="00A03935" w:rsidP="006E6F59">
            <w:pPr>
              <w:jc w:val="right"/>
              <w:rPr>
                <w:i/>
                <w:color w:val="000000"/>
                <w:sz w:val="18"/>
                <w:szCs w:val="18"/>
              </w:rPr>
            </w:pPr>
            <w:r w:rsidRPr="0025472E">
              <w:rPr>
                <w:i/>
                <w:color w:val="000000"/>
                <w:sz w:val="18"/>
                <w:szCs w:val="18"/>
              </w:rPr>
              <w:t>14 983,0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03935" w:rsidRPr="0025472E" w:rsidRDefault="00A03935" w:rsidP="006E6F59">
            <w:pPr>
              <w:jc w:val="right"/>
              <w:rPr>
                <w:i/>
                <w:color w:val="000000"/>
                <w:sz w:val="18"/>
                <w:szCs w:val="18"/>
              </w:rPr>
            </w:pPr>
            <w:r w:rsidRPr="0025472E">
              <w:rPr>
                <w:i/>
                <w:color w:val="000000"/>
                <w:sz w:val="18"/>
                <w:szCs w:val="18"/>
              </w:rPr>
              <w:t>13</w:t>
            </w:r>
            <w:r w:rsidRPr="0025472E">
              <w:rPr>
                <w:i/>
                <w:color w:val="000000"/>
                <w:sz w:val="18"/>
                <w:szCs w:val="18"/>
                <w:lang w:val="en-US"/>
              </w:rPr>
              <w:t> </w:t>
            </w:r>
            <w:r w:rsidRPr="0025472E">
              <w:rPr>
                <w:i/>
                <w:color w:val="000000"/>
                <w:sz w:val="18"/>
                <w:szCs w:val="18"/>
              </w:rPr>
              <w:t>873,6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3935" w:rsidRPr="0025472E" w:rsidRDefault="00745E8C" w:rsidP="006E6F59">
            <w:pPr>
              <w:jc w:val="right"/>
              <w:rPr>
                <w:i/>
                <w:color w:val="000000"/>
                <w:sz w:val="18"/>
                <w:szCs w:val="18"/>
              </w:rPr>
            </w:pPr>
            <w:r>
              <w:rPr>
                <w:i/>
                <w:color w:val="000000"/>
                <w:sz w:val="18"/>
                <w:szCs w:val="18"/>
              </w:rPr>
              <w:t>-</w:t>
            </w:r>
            <w:r w:rsidR="00A03935" w:rsidRPr="0025472E">
              <w:rPr>
                <w:i/>
                <w:color w:val="000000"/>
                <w:sz w:val="18"/>
                <w:szCs w:val="18"/>
                <w:lang w:val="en-US"/>
              </w:rPr>
              <w:t>1 111,</w:t>
            </w:r>
            <w:r w:rsidR="00A03935" w:rsidRPr="0025472E">
              <w:rPr>
                <w:i/>
                <w:color w:val="000000"/>
                <w:sz w:val="18"/>
                <w:szCs w:val="18"/>
              </w:rPr>
              <w:t>6</w:t>
            </w:r>
          </w:p>
        </w:tc>
        <w:tc>
          <w:tcPr>
            <w:tcW w:w="850" w:type="dxa"/>
            <w:tcBorders>
              <w:top w:val="single" w:sz="4" w:space="0" w:color="auto"/>
              <w:left w:val="nil"/>
              <w:bottom w:val="single" w:sz="4" w:space="0" w:color="auto"/>
              <w:right w:val="double" w:sz="4" w:space="0" w:color="auto"/>
            </w:tcBorders>
            <w:shd w:val="clear" w:color="auto" w:fill="auto"/>
            <w:noWrap/>
            <w:vAlign w:val="center"/>
            <w:hideMark/>
          </w:tcPr>
          <w:p w:rsidR="00A03935" w:rsidRPr="0025472E" w:rsidRDefault="00A03935" w:rsidP="006E6F59">
            <w:pPr>
              <w:jc w:val="right"/>
              <w:rPr>
                <w:i/>
                <w:color w:val="000000"/>
                <w:sz w:val="18"/>
                <w:szCs w:val="18"/>
              </w:rPr>
            </w:pPr>
            <w:r w:rsidRPr="0025472E">
              <w:rPr>
                <w:i/>
                <w:color w:val="000000"/>
                <w:sz w:val="18"/>
                <w:szCs w:val="18"/>
              </w:rPr>
              <w:t>92,6%</w:t>
            </w:r>
          </w:p>
        </w:tc>
      </w:tr>
      <w:tr w:rsidR="00A03935" w:rsidRPr="004559C1" w:rsidTr="00666492">
        <w:trPr>
          <w:trHeight w:val="20"/>
        </w:trPr>
        <w:tc>
          <w:tcPr>
            <w:tcW w:w="710" w:type="dxa"/>
            <w:tcBorders>
              <w:top w:val="nil"/>
              <w:left w:val="double" w:sz="4" w:space="0" w:color="auto"/>
              <w:bottom w:val="double" w:sz="4" w:space="0" w:color="auto"/>
              <w:right w:val="nil"/>
            </w:tcBorders>
            <w:vAlign w:val="center"/>
          </w:tcPr>
          <w:p w:rsidR="00A03935" w:rsidRPr="004559C1" w:rsidRDefault="00A03935" w:rsidP="001737FC">
            <w:pPr>
              <w:ind w:left="-57" w:right="-57"/>
              <w:jc w:val="center"/>
              <w:rPr>
                <w:sz w:val="16"/>
                <w:szCs w:val="16"/>
              </w:rPr>
            </w:pPr>
            <w:r w:rsidRPr="004559C1">
              <w:rPr>
                <w:sz w:val="16"/>
                <w:szCs w:val="16"/>
              </w:rPr>
              <w:t>0136024</w:t>
            </w:r>
          </w:p>
        </w:tc>
        <w:tc>
          <w:tcPr>
            <w:tcW w:w="3685" w:type="dxa"/>
            <w:tcBorders>
              <w:top w:val="nil"/>
              <w:left w:val="single" w:sz="8" w:space="0" w:color="auto"/>
              <w:bottom w:val="double" w:sz="4" w:space="0" w:color="auto"/>
              <w:right w:val="single" w:sz="4" w:space="0" w:color="auto"/>
            </w:tcBorders>
            <w:shd w:val="clear" w:color="auto" w:fill="auto"/>
            <w:vAlign w:val="center"/>
            <w:hideMark/>
          </w:tcPr>
          <w:p w:rsidR="00A03935" w:rsidRPr="004559C1" w:rsidRDefault="00A03935" w:rsidP="001737FC">
            <w:pPr>
              <w:ind w:left="-57" w:right="-57"/>
              <w:rPr>
                <w:sz w:val="20"/>
                <w:szCs w:val="20"/>
              </w:rPr>
            </w:pPr>
            <w:r w:rsidRPr="004559C1">
              <w:rPr>
                <w:sz w:val="20"/>
                <w:szCs w:val="20"/>
              </w:rPr>
              <w:t>Предоставление образовательных услуг (работ) в сфере гражданской обороны, чрезвычайных ситуаций и пожарной безопасности</w:t>
            </w:r>
          </w:p>
        </w:tc>
        <w:tc>
          <w:tcPr>
            <w:tcW w:w="1134" w:type="dxa"/>
            <w:tcBorders>
              <w:top w:val="nil"/>
              <w:left w:val="single" w:sz="4" w:space="0" w:color="auto"/>
              <w:bottom w:val="double" w:sz="4" w:space="0" w:color="auto"/>
              <w:right w:val="single" w:sz="4" w:space="0" w:color="auto"/>
            </w:tcBorders>
            <w:shd w:val="clear" w:color="auto" w:fill="auto"/>
            <w:vAlign w:val="center"/>
          </w:tcPr>
          <w:p w:rsidR="00A03935" w:rsidRPr="006E6F59" w:rsidRDefault="00A03935" w:rsidP="006E6F59">
            <w:pPr>
              <w:ind w:right="-57"/>
              <w:jc w:val="right"/>
              <w:rPr>
                <w:sz w:val="18"/>
                <w:szCs w:val="18"/>
              </w:rPr>
            </w:pPr>
            <w:r w:rsidRPr="006E6F59">
              <w:rPr>
                <w:sz w:val="18"/>
                <w:szCs w:val="18"/>
              </w:rPr>
              <w:t>15 586,2</w:t>
            </w:r>
          </w:p>
        </w:tc>
        <w:tc>
          <w:tcPr>
            <w:tcW w:w="99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A03935" w:rsidRPr="004559C1" w:rsidRDefault="00A03935" w:rsidP="006E6F59">
            <w:pPr>
              <w:jc w:val="right"/>
              <w:rPr>
                <w:color w:val="000000"/>
                <w:sz w:val="18"/>
                <w:szCs w:val="18"/>
              </w:rPr>
            </w:pPr>
            <w:r>
              <w:rPr>
                <w:color w:val="000000"/>
                <w:sz w:val="18"/>
                <w:szCs w:val="18"/>
              </w:rPr>
              <w:t>14 </w:t>
            </w:r>
            <w:r w:rsidRPr="004559C1">
              <w:rPr>
                <w:color w:val="000000"/>
                <w:sz w:val="18"/>
                <w:szCs w:val="18"/>
              </w:rPr>
              <w:t>985,2</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rsidR="00A03935" w:rsidRPr="004559C1" w:rsidRDefault="00A03935" w:rsidP="006E6F59">
            <w:pPr>
              <w:jc w:val="right"/>
              <w:rPr>
                <w:color w:val="000000"/>
                <w:sz w:val="18"/>
                <w:szCs w:val="18"/>
              </w:rPr>
            </w:pPr>
            <w:r>
              <w:rPr>
                <w:color w:val="000000"/>
                <w:sz w:val="18"/>
                <w:szCs w:val="18"/>
              </w:rPr>
              <w:t>14 </w:t>
            </w:r>
            <w:r w:rsidRPr="004559C1">
              <w:rPr>
                <w:color w:val="000000"/>
                <w:sz w:val="18"/>
                <w:szCs w:val="18"/>
              </w:rPr>
              <w:t>983,0</w:t>
            </w:r>
          </w:p>
        </w:tc>
        <w:tc>
          <w:tcPr>
            <w:tcW w:w="992" w:type="dxa"/>
            <w:tcBorders>
              <w:top w:val="single" w:sz="4" w:space="0" w:color="auto"/>
              <w:left w:val="nil"/>
              <w:bottom w:val="double" w:sz="4" w:space="0" w:color="auto"/>
              <w:right w:val="single" w:sz="4" w:space="0" w:color="auto"/>
            </w:tcBorders>
            <w:shd w:val="clear" w:color="auto" w:fill="auto"/>
            <w:noWrap/>
            <w:vAlign w:val="center"/>
            <w:hideMark/>
          </w:tcPr>
          <w:p w:rsidR="00A03935" w:rsidRPr="004559C1" w:rsidRDefault="00A03935" w:rsidP="006E6F59">
            <w:pPr>
              <w:jc w:val="right"/>
              <w:rPr>
                <w:color w:val="000000"/>
                <w:sz w:val="18"/>
                <w:szCs w:val="18"/>
              </w:rPr>
            </w:pPr>
            <w:r w:rsidRPr="004559C1">
              <w:rPr>
                <w:color w:val="000000"/>
                <w:sz w:val="18"/>
                <w:szCs w:val="18"/>
              </w:rPr>
              <w:t>13</w:t>
            </w:r>
            <w:r>
              <w:rPr>
                <w:color w:val="000000"/>
                <w:sz w:val="18"/>
                <w:szCs w:val="18"/>
                <w:lang w:val="en-US"/>
              </w:rPr>
              <w:t> </w:t>
            </w:r>
            <w:r w:rsidRPr="004559C1">
              <w:rPr>
                <w:color w:val="000000"/>
                <w:sz w:val="18"/>
                <w:szCs w:val="18"/>
              </w:rPr>
              <w:t>873,6</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rsidR="00A03935" w:rsidRPr="004559C1" w:rsidRDefault="00745E8C" w:rsidP="006E6F59">
            <w:pPr>
              <w:jc w:val="right"/>
              <w:rPr>
                <w:color w:val="000000"/>
                <w:sz w:val="18"/>
                <w:szCs w:val="18"/>
              </w:rPr>
            </w:pPr>
            <w:r>
              <w:rPr>
                <w:color w:val="000000"/>
                <w:sz w:val="18"/>
                <w:szCs w:val="18"/>
              </w:rPr>
              <w:t>-</w:t>
            </w:r>
            <w:r w:rsidR="00A03935">
              <w:rPr>
                <w:color w:val="000000"/>
                <w:sz w:val="18"/>
                <w:szCs w:val="18"/>
                <w:lang w:val="en-US"/>
              </w:rPr>
              <w:t>1 </w:t>
            </w:r>
            <w:r w:rsidR="00A03935" w:rsidRPr="004559C1">
              <w:rPr>
                <w:color w:val="000000"/>
                <w:sz w:val="18"/>
                <w:szCs w:val="18"/>
                <w:lang w:val="en-US"/>
              </w:rPr>
              <w:t>111,</w:t>
            </w:r>
            <w:r w:rsidR="00A03935" w:rsidRPr="004559C1">
              <w:rPr>
                <w:color w:val="000000"/>
                <w:sz w:val="18"/>
                <w:szCs w:val="18"/>
              </w:rPr>
              <w:t>6</w:t>
            </w:r>
          </w:p>
        </w:tc>
        <w:tc>
          <w:tcPr>
            <w:tcW w:w="850" w:type="dxa"/>
            <w:tcBorders>
              <w:top w:val="single" w:sz="4" w:space="0" w:color="auto"/>
              <w:left w:val="nil"/>
              <w:bottom w:val="double" w:sz="4" w:space="0" w:color="auto"/>
              <w:right w:val="double" w:sz="4" w:space="0" w:color="auto"/>
            </w:tcBorders>
            <w:shd w:val="clear" w:color="auto" w:fill="auto"/>
            <w:noWrap/>
            <w:vAlign w:val="center"/>
            <w:hideMark/>
          </w:tcPr>
          <w:p w:rsidR="00A03935" w:rsidRPr="004559C1" w:rsidRDefault="00A03935" w:rsidP="006E6F59">
            <w:pPr>
              <w:jc w:val="right"/>
              <w:rPr>
                <w:color w:val="000000"/>
                <w:sz w:val="18"/>
                <w:szCs w:val="18"/>
              </w:rPr>
            </w:pPr>
            <w:r w:rsidRPr="004559C1">
              <w:rPr>
                <w:color w:val="000000"/>
                <w:sz w:val="18"/>
                <w:szCs w:val="18"/>
              </w:rPr>
              <w:t>92,6%</w:t>
            </w:r>
          </w:p>
        </w:tc>
      </w:tr>
    </w:tbl>
    <w:p w:rsidR="006F051F" w:rsidRDefault="006F051F" w:rsidP="006F051F">
      <w:pPr>
        <w:ind w:firstLine="680"/>
        <w:jc w:val="both"/>
      </w:pPr>
      <w:r w:rsidRPr="002B136C">
        <w:t xml:space="preserve">Неисполнение бюджетных назначений в общей сумме </w:t>
      </w:r>
      <w:r w:rsidRPr="002B136C">
        <w:rPr>
          <w:bCs/>
          <w:color w:val="000000"/>
        </w:rPr>
        <w:t>44</w:t>
      </w:r>
      <w:r w:rsidRPr="002B136C">
        <w:rPr>
          <w:bCs/>
          <w:color w:val="000000"/>
          <w:lang w:val="en-US"/>
        </w:rPr>
        <w:t> </w:t>
      </w:r>
      <w:r w:rsidRPr="004559C1">
        <w:rPr>
          <w:bCs/>
          <w:color w:val="000000"/>
        </w:rPr>
        <w:t>604,6</w:t>
      </w:r>
      <w:r>
        <w:t xml:space="preserve"> тыс. руб., или 5,</w:t>
      </w:r>
      <w:r w:rsidRPr="002B136C">
        <w:t xml:space="preserve">6% от утвержденного объема </w:t>
      </w:r>
      <w:r w:rsidR="00DA4E3F">
        <w:t>бюджетных назначений согласно С</w:t>
      </w:r>
      <w:r w:rsidRPr="002B136C">
        <w:t>ведениям об исполнении бюджета (ф. 0503164) и пояснениям Комитета обусловлено в основном</w:t>
      </w:r>
      <w:r w:rsidR="00DA4E3F">
        <w:t xml:space="preserve"> </w:t>
      </w:r>
      <w:r w:rsidRPr="002B136C">
        <w:t>поздн</w:t>
      </w:r>
      <w:r>
        <w:t>им</w:t>
      </w:r>
      <w:r w:rsidRPr="002B136C">
        <w:t xml:space="preserve"> поступление</w:t>
      </w:r>
      <w:r>
        <w:t>м</w:t>
      </w:r>
      <w:r w:rsidRPr="002B136C">
        <w:t xml:space="preserve"> </w:t>
      </w:r>
      <w:r w:rsidRPr="00BF7306">
        <w:t>(29.12.2015) межбюджетных</w:t>
      </w:r>
      <w:r w:rsidRPr="002B136C">
        <w:t xml:space="preserve"> трансфертов из федерального бюджета</w:t>
      </w:r>
      <w:r>
        <w:t xml:space="preserve"> (обустройство граждан Украины)</w:t>
      </w:r>
      <w:r w:rsidR="00DA4E3F">
        <w:t xml:space="preserve"> и</w:t>
      </w:r>
      <w:r>
        <w:t xml:space="preserve"> </w:t>
      </w:r>
      <w:r w:rsidRPr="002B136C">
        <w:t>отсутствие</w:t>
      </w:r>
      <w:r>
        <w:t>м</w:t>
      </w:r>
      <w:r w:rsidRPr="002B136C">
        <w:t xml:space="preserve"> финансировани</w:t>
      </w:r>
      <w:r>
        <w:t>я по заявкам на оплату расходов.</w:t>
      </w:r>
    </w:p>
    <w:p w:rsidR="00EF7ABB" w:rsidRDefault="00EF7ABB" w:rsidP="00EF7ABB">
      <w:pPr>
        <w:ind w:firstLine="680"/>
        <w:jc w:val="both"/>
      </w:pPr>
      <w:r w:rsidRPr="00EF7ABB">
        <w:t xml:space="preserve">Согласно представленной Комитетом информации фонд оплаты труда Комитета на 2015 год сформирован в размере 33 184,4 тыс. рублей. </w:t>
      </w:r>
      <w:proofErr w:type="gramStart"/>
      <w:r w:rsidRPr="00EF7ABB">
        <w:t xml:space="preserve">Фактические начисления по </w:t>
      </w:r>
      <w:r w:rsidRPr="00EF7ABB">
        <w:lastRenderedPageBreak/>
        <w:t>заработной плате составили 33 051,3 тыс. руб., в т.ч. по ГГС – 28 897,5 тыс. руб., из которых произведены выплаты денежных поощрений на общую сумму 5 564,5 тыс. руб.: премия за выполнение особо важных и сложных заданий на основании Закона Волгоградской области от 10.11.2005 № 1114-ОД «О денежном содержании государственных гражданских служащих Волгоградской области» (далее – Закон № 1114-ОД) в</w:t>
      </w:r>
      <w:proofErr w:type="gramEnd"/>
      <w:r w:rsidRPr="00EF7ABB">
        <w:t xml:space="preserve"> </w:t>
      </w:r>
      <w:proofErr w:type="gramStart"/>
      <w:r w:rsidRPr="00EF7ABB">
        <w:t>сумме 358,9 тыс. руб.;  единовременная выплата и материальная помощь к отпуску на основании Закона № 1114-ОД) - 3 550,6 тыс. руб.; премия по итогам года на основании Закона № 1114-ОД - 1 021,2 тыс. руб.; денежное поощрение за добросовестное выполнение должностных обязанностей  и материальная помощь на основании постановления главы Администрации Волгоградской области от 14.12.2010 № 1900 «О выплате денежных поощрений и материальной помощи государственным гражданским</w:t>
      </w:r>
      <w:proofErr w:type="gramEnd"/>
      <w:r w:rsidRPr="00EF7ABB">
        <w:t xml:space="preserve"> служащим Волгоградской области в органах исполнительной власти Волгоградской области» (далее - Постановление № 1900) в размере 591,6 тыс. руб. и 42,2 тыс. руб. соответственно. За счет экономии фонда оплаты труда выплачено денежных поощрений на 1 655,0 тыс. руб. (премия по итогам года, денежное поощрение за добросовестное выполнение должностных обязанностей  и материальная помощь).</w:t>
      </w:r>
    </w:p>
    <w:p w:rsidR="00D719B3" w:rsidRDefault="00D719B3" w:rsidP="00D719B3">
      <w:pPr>
        <w:ind w:firstLine="709"/>
        <w:jc w:val="both"/>
        <w:rPr>
          <w:bCs/>
          <w:color w:val="76923C" w:themeColor="accent3" w:themeShade="BF"/>
        </w:rPr>
      </w:pPr>
    </w:p>
    <w:p w:rsidR="001737FC" w:rsidRPr="006C3806" w:rsidRDefault="001737FC" w:rsidP="001737FC">
      <w:pPr>
        <w:ind w:firstLine="709"/>
        <w:jc w:val="both"/>
        <w:rPr>
          <w:sz w:val="20"/>
          <w:szCs w:val="20"/>
        </w:rPr>
      </w:pPr>
      <w:r w:rsidRPr="006C3806">
        <w:t>Сравнительный анализ показателей исполнения расходов</w:t>
      </w:r>
      <w:r w:rsidR="003D4B3A">
        <w:t xml:space="preserve"> областного бюджета за 2014 </w:t>
      </w:r>
      <w:r w:rsidRPr="006C3806">
        <w:t>и 2015 год</w:t>
      </w:r>
      <w:r w:rsidR="003D4B3A">
        <w:t>ы</w:t>
      </w:r>
      <w:r w:rsidRPr="006C3806">
        <w:t xml:space="preserve"> представлен в таблице.</w:t>
      </w:r>
    </w:p>
    <w:p w:rsidR="001737FC" w:rsidRPr="006C3806" w:rsidRDefault="001737FC" w:rsidP="001737FC">
      <w:pPr>
        <w:ind w:firstLine="708"/>
        <w:jc w:val="right"/>
        <w:rPr>
          <w:i/>
          <w:sz w:val="20"/>
          <w:szCs w:val="20"/>
        </w:rPr>
      </w:pPr>
      <w:r w:rsidRPr="006C3806">
        <w:rPr>
          <w:i/>
          <w:sz w:val="20"/>
          <w:szCs w:val="20"/>
        </w:rPr>
        <w:t>тыс. руб.</w:t>
      </w:r>
    </w:p>
    <w:tbl>
      <w:tblPr>
        <w:tblW w:w="9652" w:type="dxa"/>
        <w:tblInd w:w="95" w:type="dxa"/>
        <w:tblLayout w:type="fixed"/>
        <w:tblLook w:val="04A0"/>
      </w:tblPr>
      <w:tblGrid>
        <w:gridCol w:w="732"/>
        <w:gridCol w:w="4503"/>
        <w:gridCol w:w="960"/>
        <w:gridCol w:w="1473"/>
        <w:gridCol w:w="1111"/>
        <w:gridCol w:w="873"/>
      </w:tblGrid>
      <w:tr w:rsidR="001737FC" w:rsidRPr="006C3806" w:rsidTr="00F82113">
        <w:trPr>
          <w:trHeight w:val="300"/>
          <w:tblHeader/>
        </w:trPr>
        <w:tc>
          <w:tcPr>
            <w:tcW w:w="732" w:type="dxa"/>
            <w:vMerge w:val="restart"/>
            <w:tcBorders>
              <w:top w:val="double" w:sz="4" w:space="0" w:color="auto"/>
              <w:left w:val="double" w:sz="4" w:space="0" w:color="auto"/>
              <w:right w:val="single" w:sz="4" w:space="0" w:color="auto"/>
            </w:tcBorders>
            <w:shd w:val="clear" w:color="auto" w:fill="EAF1DD" w:themeFill="accent3" w:themeFillTint="33"/>
            <w:vAlign w:val="center"/>
          </w:tcPr>
          <w:p w:rsidR="001737FC" w:rsidRPr="00557F01" w:rsidRDefault="001737FC" w:rsidP="001737FC">
            <w:pPr>
              <w:contextualSpacing/>
              <w:jc w:val="center"/>
              <w:rPr>
                <w:b/>
                <w:bCs/>
                <w:color w:val="000000"/>
                <w:sz w:val="20"/>
                <w:szCs w:val="20"/>
              </w:rPr>
            </w:pPr>
            <w:r w:rsidRPr="00557F01">
              <w:rPr>
                <w:b/>
                <w:bCs/>
                <w:color w:val="000000"/>
                <w:sz w:val="20"/>
                <w:szCs w:val="20"/>
              </w:rPr>
              <w:t>КБК</w:t>
            </w:r>
          </w:p>
        </w:tc>
        <w:tc>
          <w:tcPr>
            <w:tcW w:w="4503" w:type="dxa"/>
            <w:vMerge w:val="restart"/>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hideMark/>
          </w:tcPr>
          <w:p w:rsidR="001737FC" w:rsidRPr="00557F01" w:rsidRDefault="001737FC" w:rsidP="001737FC">
            <w:pPr>
              <w:contextualSpacing/>
              <w:jc w:val="center"/>
              <w:rPr>
                <w:b/>
                <w:bCs/>
                <w:color w:val="000000"/>
                <w:sz w:val="20"/>
                <w:szCs w:val="20"/>
              </w:rPr>
            </w:pPr>
            <w:r w:rsidRPr="00557F01">
              <w:rPr>
                <w:b/>
                <w:bCs/>
                <w:color w:val="000000"/>
                <w:sz w:val="20"/>
                <w:szCs w:val="20"/>
              </w:rPr>
              <w:t>Наименование показателя</w:t>
            </w:r>
          </w:p>
        </w:tc>
        <w:tc>
          <w:tcPr>
            <w:tcW w:w="960" w:type="dxa"/>
            <w:vMerge w:val="restart"/>
            <w:tcBorders>
              <w:top w:val="doub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1737FC" w:rsidRPr="00557F01" w:rsidRDefault="001737FC" w:rsidP="001737FC">
            <w:pPr>
              <w:contextualSpacing/>
              <w:jc w:val="center"/>
              <w:rPr>
                <w:b/>
                <w:bCs/>
                <w:color w:val="000000"/>
                <w:sz w:val="20"/>
                <w:szCs w:val="20"/>
              </w:rPr>
            </w:pPr>
            <w:r w:rsidRPr="00557F01">
              <w:rPr>
                <w:b/>
                <w:bCs/>
                <w:color w:val="000000"/>
                <w:sz w:val="20"/>
                <w:szCs w:val="20"/>
              </w:rPr>
              <w:t>2014</w:t>
            </w:r>
            <w:r w:rsidR="00294262">
              <w:rPr>
                <w:b/>
                <w:bCs/>
                <w:color w:val="000000"/>
                <w:sz w:val="20"/>
                <w:szCs w:val="20"/>
              </w:rPr>
              <w:t xml:space="preserve"> год</w:t>
            </w:r>
          </w:p>
        </w:tc>
        <w:tc>
          <w:tcPr>
            <w:tcW w:w="1473" w:type="dxa"/>
            <w:vMerge w:val="restart"/>
            <w:tcBorders>
              <w:top w:val="doub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1737FC" w:rsidRPr="00557F01" w:rsidRDefault="001737FC" w:rsidP="001737FC">
            <w:pPr>
              <w:contextualSpacing/>
              <w:jc w:val="center"/>
              <w:rPr>
                <w:b/>
                <w:bCs/>
                <w:color w:val="000000"/>
                <w:sz w:val="20"/>
                <w:szCs w:val="20"/>
              </w:rPr>
            </w:pPr>
            <w:r w:rsidRPr="00557F01">
              <w:rPr>
                <w:b/>
                <w:bCs/>
                <w:color w:val="000000"/>
                <w:sz w:val="20"/>
                <w:szCs w:val="20"/>
              </w:rPr>
              <w:t>2015</w:t>
            </w:r>
            <w:r w:rsidR="00294262">
              <w:rPr>
                <w:b/>
                <w:bCs/>
                <w:color w:val="000000"/>
                <w:sz w:val="20"/>
                <w:szCs w:val="20"/>
              </w:rPr>
              <w:t xml:space="preserve"> год</w:t>
            </w:r>
          </w:p>
        </w:tc>
        <w:tc>
          <w:tcPr>
            <w:tcW w:w="1984" w:type="dxa"/>
            <w:gridSpan w:val="2"/>
            <w:tcBorders>
              <w:top w:val="double" w:sz="4" w:space="0" w:color="auto"/>
              <w:left w:val="nil"/>
              <w:bottom w:val="single" w:sz="4" w:space="0" w:color="auto"/>
              <w:right w:val="double" w:sz="4" w:space="0" w:color="auto"/>
            </w:tcBorders>
            <w:shd w:val="clear" w:color="auto" w:fill="EAF1DD" w:themeFill="accent3" w:themeFillTint="33"/>
            <w:vAlign w:val="center"/>
            <w:hideMark/>
          </w:tcPr>
          <w:p w:rsidR="001737FC" w:rsidRPr="00557F01" w:rsidRDefault="001737FC" w:rsidP="001737FC">
            <w:pPr>
              <w:contextualSpacing/>
              <w:jc w:val="center"/>
              <w:rPr>
                <w:b/>
                <w:bCs/>
                <w:color w:val="000000"/>
                <w:sz w:val="20"/>
                <w:szCs w:val="20"/>
              </w:rPr>
            </w:pPr>
            <w:r w:rsidRPr="00557F01">
              <w:rPr>
                <w:b/>
                <w:bCs/>
                <w:color w:val="000000"/>
                <w:sz w:val="20"/>
                <w:szCs w:val="20"/>
              </w:rPr>
              <w:t>Отклонение</w:t>
            </w:r>
          </w:p>
        </w:tc>
      </w:tr>
      <w:tr w:rsidR="001737FC" w:rsidRPr="006C3806" w:rsidTr="00F82113">
        <w:trPr>
          <w:trHeight w:val="300"/>
          <w:tblHeader/>
        </w:trPr>
        <w:tc>
          <w:tcPr>
            <w:tcW w:w="732" w:type="dxa"/>
            <w:vMerge/>
            <w:tcBorders>
              <w:left w:val="double" w:sz="4" w:space="0" w:color="auto"/>
              <w:bottom w:val="double" w:sz="4" w:space="0" w:color="auto"/>
              <w:right w:val="single" w:sz="4" w:space="0" w:color="auto"/>
            </w:tcBorders>
            <w:shd w:val="clear" w:color="auto" w:fill="EAF1DD" w:themeFill="accent3" w:themeFillTint="33"/>
            <w:vAlign w:val="center"/>
          </w:tcPr>
          <w:p w:rsidR="001737FC" w:rsidRPr="00557F01" w:rsidRDefault="001737FC" w:rsidP="001737FC">
            <w:pPr>
              <w:contextualSpacing/>
              <w:jc w:val="center"/>
              <w:rPr>
                <w:b/>
                <w:bCs/>
                <w:color w:val="000000"/>
                <w:sz w:val="20"/>
                <w:szCs w:val="20"/>
              </w:rPr>
            </w:pPr>
          </w:p>
        </w:tc>
        <w:tc>
          <w:tcPr>
            <w:tcW w:w="4503" w:type="dxa"/>
            <w:vMerge/>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hideMark/>
          </w:tcPr>
          <w:p w:rsidR="001737FC" w:rsidRPr="00557F01" w:rsidRDefault="001737FC" w:rsidP="001737FC">
            <w:pPr>
              <w:contextualSpacing/>
              <w:jc w:val="center"/>
              <w:rPr>
                <w:b/>
                <w:bCs/>
                <w:color w:val="000000"/>
                <w:sz w:val="20"/>
                <w:szCs w:val="20"/>
              </w:rPr>
            </w:pPr>
          </w:p>
        </w:tc>
        <w:tc>
          <w:tcPr>
            <w:tcW w:w="960" w:type="dxa"/>
            <w:vMerge/>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hideMark/>
          </w:tcPr>
          <w:p w:rsidR="001737FC" w:rsidRPr="00557F01" w:rsidRDefault="001737FC" w:rsidP="001737FC">
            <w:pPr>
              <w:contextualSpacing/>
              <w:jc w:val="center"/>
              <w:rPr>
                <w:b/>
                <w:bCs/>
                <w:color w:val="000000"/>
                <w:sz w:val="20"/>
                <w:szCs w:val="20"/>
              </w:rPr>
            </w:pPr>
          </w:p>
        </w:tc>
        <w:tc>
          <w:tcPr>
            <w:tcW w:w="1473" w:type="dxa"/>
            <w:vMerge/>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hideMark/>
          </w:tcPr>
          <w:p w:rsidR="001737FC" w:rsidRPr="00557F01" w:rsidRDefault="001737FC" w:rsidP="001737FC">
            <w:pPr>
              <w:contextualSpacing/>
              <w:jc w:val="center"/>
              <w:rPr>
                <w:b/>
                <w:bCs/>
                <w:color w:val="000000"/>
                <w:sz w:val="20"/>
                <w:szCs w:val="20"/>
              </w:rPr>
            </w:pPr>
          </w:p>
        </w:tc>
        <w:tc>
          <w:tcPr>
            <w:tcW w:w="1111" w:type="dxa"/>
            <w:tcBorders>
              <w:top w:val="nil"/>
              <w:left w:val="nil"/>
              <w:bottom w:val="double" w:sz="4" w:space="0" w:color="auto"/>
              <w:right w:val="single" w:sz="4" w:space="0" w:color="auto"/>
            </w:tcBorders>
            <w:shd w:val="clear" w:color="auto" w:fill="EAF1DD" w:themeFill="accent3" w:themeFillTint="33"/>
            <w:vAlign w:val="center"/>
            <w:hideMark/>
          </w:tcPr>
          <w:p w:rsidR="001737FC" w:rsidRPr="00557F01" w:rsidRDefault="00AD6BE1" w:rsidP="00AD6BE1">
            <w:pPr>
              <w:contextualSpacing/>
              <w:jc w:val="center"/>
              <w:rPr>
                <w:b/>
                <w:bCs/>
                <w:color w:val="000000"/>
                <w:sz w:val="20"/>
                <w:szCs w:val="20"/>
              </w:rPr>
            </w:pPr>
            <w:r>
              <w:rPr>
                <w:b/>
                <w:bCs/>
                <w:color w:val="000000"/>
                <w:sz w:val="20"/>
                <w:szCs w:val="20"/>
              </w:rPr>
              <w:t>тыс. руб.</w:t>
            </w:r>
          </w:p>
        </w:tc>
        <w:tc>
          <w:tcPr>
            <w:tcW w:w="873" w:type="dxa"/>
            <w:tcBorders>
              <w:top w:val="nil"/>
              <w:left w:val="nil"/>
              <w:bottom w:val="double" w:sz="4" w:space="0" w:color="auto"/>
              <w:right w:val="double" w:sz="4" w:space="0" w:color="auto"/>
            </w:tcBorders>
            <w:shd w:val="clear" w:color="auto" w:fill="EAF1DD" w:themeFill="accent3" w:themeFillTint="33"/>
            <w:vAlign w:val="center"/>
            <w:hideMark/>
          </w:tcPr>
          <w:p w:rsidR="001737FC" w:rsidRPr="00557F01" w:rsidRDefault="001737FC" w:rsidP="001737FC">
            <w:pPr>
              <w:contextualSpacing/>
              <w:jc w:val="center"/>
              <w:rPr>
                <w:b/>
                <w:bCs/>
                <w:color w:val="000000"/>
                <w:sz w:val="20"/>
                <w:szCs w:val="20"/>
              </w:rPr>
            </w:pPr>
            <w:r w:rsidRPr="00557F01">
              <w:rPr>
                <w:b/>
                <w:bCs/>
                <w:color w:val="000000"/>
                <w:sz w:val="20"/>
                <w:szCs w:val="20"/>
              </w:rPr>
              <w:t>%</w:t>
            </w:r>
          </w:p>
        </w:tc>
      </w:tr>
      <w:tr w:rsidR="001737FC" w:rsidRPr="00A27471" w:rsidTr="001737FC">
        <w:trPr>
          <w:trHeight w:val="44"/>
        </w:trPr>
        <w:tc>
          <w:tcPr>
            <w:tcW w:w="732" w:type="dxa"/>
            <w:tcBorders>
              <w:top w:val="double" w:sz="4" w:space="0" w:color="auto"/>
              <w:left w:val="double" w:sz="4" w:space="0" w:color="auto"/>
              <w:bottom w:val="double" w:sz="4" w:space="0" w:color="auto"/>
              <w:right w:val="single" w:sz="4" w:space="0" w:color="auto"/>
            </w:tcBorders>
            <w:vAlign w:val="center"/>
          </w:tcPr>
          <w:p w:rsidR="001737FC" w:rsidRPr="00A27471" w:rsidRDefault="001737FC" w:rsidP="001737FC">
            <w:pPr>
              <w:contextualSpacing/>
              <w:jc w:val="center"/>
              <w:rPr>
                <w:b/>
                <w:bCs/>
                <w:color w:val="000000"/>
                <w:sz w:val="18"/>
                <w:szCs w:val="18"/>
              </w:rPr>
            </w:pPr>
          </w:p>
        </w:tc>
        <w:tc>
          <w:tcPr>
            <w:tcW w:w="4503" w:type="dxa"/>
            <w:tcBorders>
              <w:top w:val="double" w:sz="4" w:space="0" w:color="auto"/>
              <w:left w:val="double" w:sz="4" w:space="0" w:color="auto"/>
              <w:bottom w:val="double" w:sz="4" w:space="0" w:color="auto"/>
              <w:right w:val="single" w:sz="4" w:space="0" w:color="auto"/>
            </w:tcBorders>
            <w:shd w:val="clear" w:color="auto" w:fill="auto"/>
            <w:vAlign w:val="center"/>
            <w:hideMark/>
          </w:tcPr>
          <w:p w:rsidR="001737FC" w:rsidRPr="00A27471" w:rsidRDefault="001737FC" w:rsidP="001737FC">
            <w:pPr>
              <w:contextualSpacing/>
              <w:rPr>
                <w:b/>
                <w:bCs/>
                <w:color w:val="000000"/>
                <w:sz w:val="18"/>
                <w:szCs w:val="18"/>
              </w:rPr>
            </w:pPr>
            <w:r w:rsidRPr="00A27471">
              <w:rPr>
                <w:b/>
                <w:bCs/>
                <w:color w:val="000000"/>
                <w:sz w:val="18"/>
                <w:szCs w:val="18"/>
              </w:rPr>
              <w:t>Расходы бюджета – всего:</w:t>
            </w:r>
          </w:p>
        </w:tc>
        <w:tc>
          <w:tcPr>
            <w:tcW w:w="960" w:type="dxa"/>
            <w:tcBorders>
              <w:top w:val="double" w:sz="4" w:space="0" w:color="auto"/>
              <w:left w:val="nil"/>
              <w:bottom w:val="double" w:sz="4" w:space="0" w:color="auto"/>
              <w:right w:val="single" w:sz="4" w:space="0" w:color="auto"/>
            </w:tcBorders>
            <w:shd w:val="clear" w:color="auto" w:fill="auto"/>
            <w:noWrap/>
            <w:vAlign w:val="center"/>
            <w:hideMark/>
          </w:tcPr>
          <w:p w:rsidR="001737FC" w:rsidRPr="00A27471" w:rsidRDefault="001737FC" w:rsidP="001737FC">
            <w:pPr>
              <w:contextualSpacing/>
              <w:jc w:val="center"/>
              <w:rPr>
                <w:b/>
                <w:bCs/>
                <w:color w:val="000000"/>
                <w:sz w:val="18"/>
                <w:szCs w:val="18"/>
              </w:rPr>
            </w:pPr>
            <w:r w:rsidRPr="00A27471">
              <w:rPr>
                <w:b/>
                <w:bCs/>
                <w:color w:val="000000"/>
                <w:sz w:val="18"/>
                <w:szCs w:val="18"/>
              </w:rPr>
              <w:t>590</w:t>
            </w:r>
            <w:r>
              <w:rPr>
                <w:b/>
                <w:bCs/>
                <w:color w:val="000000"/>
                <w:sz w:val="18"/>
                <w:szCs w:val="18"/>
              </w:rPr>
              <w:t> </w:t>
            </w:r>
            <w:r w:rsidRPr="00A27471">
              <w:rPr>
                <w:b/>
                <w:bCs/>
                <w:color w:val="000000"/>
                <w:sz w:val="18"/>
                <w:szCs w:val="18"/>
              </w:rPr>
              <w:t>656,0</w:t>
            </w:r>
          </w:p>
        </w:tc>
        <w:tc>
          <w:tcPr>
            <w:tcW w:w="1473" w:type="dxa"/>
            <w:tcBorders>
              <w:top w:val="double" w:sz="4" w:space="0" w:color="auto"/>
              <w:left w:val="nil"/>
              <w:bottom w:val="double" w:sz="4" w:space="0" w:color="auto"/>
              <w:right w:val="single" w:sz="4" w:space="0" w:color="auto"/>
            </w:tcBorders>
            <w:shd w:val="clear" w:color="auto" w:fill="auto"/>
            <w:noWrap/>
            <w:vAlign w:val="center"/>
            <w:hideMark/>
          </w:tcPr>
          <w:p w:rsidR="001737FC" w:rsidRPr="00A27471" w:rsidRDefault="001737FC" w:rsidP="001737FC">
            <w:pPr>
              <w:contextualSpacing/>
              <w:jc w:val="center"/>
              <w:rPr>
                <w:b/>
                <w:bCs/>
                <w:color w:val="000000"/>
                <w:sz w:val="18"/>
                <w:szCs w:val="18"/>
              </w:rPr>
            </w:pPr>
            <w:r w:rsidRPr="00A27471">
              <w:rPr>
                <w:b/>
                <w:bCs/>
                <w:color w:val="000000"/>
                <w:sz w:val="18"/>
                <w:szCs w:val="18"/>
              </w:rPr>
              <w:t>746</w:t>
            </w:r>
            <w:r>
              <w:rPr>
                <w:b/>
                <w:bCs/>
                <w:color w:val="000000"/>
                <w:sz w:val="18"/>
                <w:szCs w:val="18"/>
              </w:rPr>
              <w:t> </w:t>
            </w:r>
            <w:r w:rsidRPr="00A27471">
              <w:rPr>
                <w:b/>
                <w:bCs/>
                <w:color w:val="000000"/>
                <w:sz w:val="18"/>
                <w:szCs w:val="18"/>
              </w:rPr>
              <w:t>906,6</w:t>
            </w:r>
          </w:p>
        </w:tc>
        <w:tc>
          <w:tcPr>
            <w:tcW w:w="1111" w:type="dxa"/>
            <w:tcBorders>
              <w:top w:val="double" w:sz="4" w:space="0" w:color="auto"/>
              <w:left w:val="nil"/>
              <w:bottom w:val="double" w:sz="4" w:space="0" w:color="auto"/>
              <w:right w:val="single" w:sz="4" w:space="0" w:color="auto"/>
            </w:tcBorders>
            <w:shd w:val="clear" w:color="auto" w:fill="auto"/>
            <w:noWrap/>
            <w:vAlign w:val="center"/>
            <w:hideMark/>
          </w:tcPr>
          <w:p w:rsidR="001737FC" w:rsidRPr="00A27471" w:rsidRDefault="001737FC" w:rsidP="001737FC">
            <w:pPr>
              <w:contextualSpacing/>
              <w:jc w:val="center"/>
              <w:rPr>
                <w:b/>
                <w:bCs/>
                <w:color w:val="000000"/>
                <w:sz w:val="18"/>
                <w:szCs w:val="18"/>
              </w:rPr>
            </w:pPr>
            <w:r>
              <w:rPr>
                <w:b/>
                <w:bCs/>
                <w:color w:val="000000"/>
                <w:sz w:val="18"/>
                <w:szCs w:val="18"/>
              </w:rPr>
              <w:t>156 </w:t>
            </w:r>
            <w:r w:rsidRPr="00A27471">
              <w:rPr>
                <w:b/>
                <w:bCs/>
                <w:color w:val="000000"/>
                <w:sz w:val="18"/>
                <w:szCs w:val="18"/>
              </w:rPr>
              <w:t>250,6</w:t>
            </w:r>
          </w:p>
        </w:tc>
        <w:tc>
          <w:tcPr>
            <w:tcW w:w="873" w:type="dxa"/>
            <w:tcBorders>
              <w:top w:val="double" w:sz="4" w:space="0" w:color="auto"/>
              <w:left w:val="nil"/>
              <w:bottom w:val="double" w:sz="4" w:space="0" w:color="auto"/>
              <w:right w:val="double" w:sz="4" w:space="0" w:color="auto"/>
            </w:tcBorders>
            <w:shd w:val="clear" w:color="auto" w:fill="auto"/>
            <w:noWrap/>
            <w:vAlign w:val="center"/>
            <w:hideMark/>
          </w:tcPr>
          <w:p w:rsidR="001737FC" w:rsidRPr="00A27471" w:rsidRDefault="001737FC" w:rsidP="001737FC">
            <w:pPr>
              <w:contextualSpacing/>
              <w:jc w:val="center"/>
              <w:rPr>
                <w:b/>
                <w:bCs/>
                <w:color w:val="000000"/>
                <w:sz w:val="18"/>
                <w:szCs w:val="18"/>
              </w:rPr>
            </w:pPr>
            <w:r>
              <w:rPr>
                <w:b/>
                <w:bCs/>
                <w:color w:val="000000"/>
                <w:sz w:val="18"/>
                <w:szCs w:val="18"/>
              </w:rPr>
              <w:t>+26,5</w:t>
            </w:r>
          </w:p>
        </w:tc>
      </w:tr>
      <w:tr w:rsidR="001737FC" w:rsidRPr="00A27471" w:rsidTr="001737FC">
        <w:trPr>
          <w:trHeight w:val="123"/>
        </w:trPr>
        <w:tc>
          <w:tcPr>
            <w:tcW w:w="732" w:type="dxa"/>
            <w:tcBorders>
              <w:top w:val="double" w:sz="4" w:space="0" w:color="auto"/>
              <w:left w:val="double" w:sz="4" w:space="0" w:color="auto"/>
              <w:bottom w:val="single" w:sz="4" w:space="0" w:color="auto"/>
              <w:right w:val="single" w:sz="4" w:space="0" w:color="auto"/>
            </w:tcBorders>
            <w:vAlign w:val="center"/>
          </w:tcPr>
          <w:p w:rsidR="001737FC" w:rsidRPr="00687AC6" w:rsidRDefault="001737FC" w:rsidP="001737FC">
            <w:pPr>
              <w:ind w:left="-57" w:right="-57"/>
              <w:contextualSpacing/>
              <w:jc w:val="center"/>
              <w:rPr>
                <w:b/>
                <w:i/>
                <w:sz w:val="18"/>
                <w:szCs w:val="18"/>
              </w:rPr>
            </w:pPr>
            <w:r w:rsidRPr="00687AC6">
              <w:rPr>
                <w:b/>
                <w:i/>
                <w:sz w:val="18"/>
                <w:szCs w:val="18"/>
              </w:rPr>
              <w:t>0100</w:t>
            </w:r>
          </w:p>
        </w:tc>
        <w:tc>
          <w:tcPr>
            <w:tcW w:w="4503"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1737FC" w:rsidRPr="00687AC6" w:rsidRDefault="001737FC" w:rsidP="001737FC">
            <w:pPr>
              <w:contextualSpacing/>
              <w:rPr>
                <w:b/>
                <w:i/>
                <w:color w:val="000000"/>
                <w:sz w:val="18"/>
                <w:szCs w:val="18"/>
              </w:rPr>
            </w:pPr>
            <w:r w:rsidRPr="00687AC6">
              <w:rPr>
                <w:b/>
                <w:i/>
                <w:color w:val="000000"/>
                <w:sz w:val="18"/>
                <w:szCs w:val="18"/>
              </w:rPr>
              <w:t>Общегосударственные вопросы</w:t>
            </w:r>
          </w:p>
        </w:tc>
        <w:tc>
          <w:tcPr>
            <w:tcW w:w="960" w:type="dxa"/>
            <w:tcBorders>
              <w:top w:val="double" w:sz="4" w:space="0" w:color="auto"/>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rPr>
              <w:t>112 215,1</w:t>
            </w:r>
          </w:p>
        </w:tc>
        <w:tc>
          <w:tcPr>
            <w:tcW w:w="1473" w:type="dxa"/>
            <w:tcBorders>
              <w:top w:val="double" w:sz="4" w:space="0" w:color="auto"/>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lang w:val="en-US"/>
              </w:rPr>
              <w:t>258</w:t>
            </w:r>
            <w:r w:rsidRPr="00687AC6">
              <w:rPr>
                <w:b/>
                <w:i/>
                <w:color w:val="000000"/>
                <w:sz w:val="18"/>
                <w:szCs w:val="18"/>
              </w:rPr>
              <w:t> </w:t>
            </w:r>
            <w:r w:rsidRPr="00687AC6">
              <w:rPr>
                <w:b/>
                <w:i/>
                <w:color w:val="000000"/>
                <w:sz w:val="18"/>
                <w:szCs w:val="18"/>
                <w:lang w:val="en-US"/>
              </w:rPr>
              <w:t>839,7</w:t>
            </w:r>
          </w:p>
        </w:tc>
        <w:tc>
          <w:tcPr>
            <w:tcW w:w="1111" w:type="dxa"/>
            <w:tcBorders>
              <w:top w:val="double" w:sz="4" w:space="0" w:color="auto"/>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rPr>
              <w:t>146 624,6</w:t>
            </w:r>
          </w:p>
        </w:tc>
        <w:tc>
          <w:tcPr>
            <w:tcW w:w="873" w:type="dxa"/>
            <w:tcBorders>
              <w:top w:val="double" w:sz="4" w:space="0" w:color="auto"/>
              <w:left w:val="nil"/>
              <w:bottom w:val="single" w:sz="4" w:space="0" w:color="auto"/>
              <w:right w:val="doub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rPr>
              <w:t>в 2,3 раза</w:t>
            </w:r>
          </w:p>
        </w:tc>
      </w:tr>
      <w:tr w:rsidR="001737FC" w:rsidRPr="00A27471" w:rsidTr="001737FC">
        <w:trPr>
          <w:trHeight w:val="300"/>
        </w:trPr>
        <w:tc>
          <w:tcPr>
            <w:tcW w:w="732" w:type="dxa"/>
            <w:tcBorders>
              <w:top w:val="nil"/>
              <w:left w:val="double" w:sz="4" w:space="0" w:color="auto"/>
              <w:bottom w:val="single" w:sz="4" w:space="0" w:color="auto"/>
              <w:right w:val="single" w:sz="4" w:space="0" w:color="auto"/>
            </w:tcBorders>
            <w:vAlign w:val="center"/>
          </w:tcPr>
          <w:p w:rsidR="001737FC" w:rsidRPr="00687AC6" w:rsidRDefault="001737FC" w:rsidP="001737FC">
            <w:pPr>
              <w:ind w:left="-57" w:right="-57"/>
              <w:contextualSpacing/>
              <w:jc w:val="center"/>
              <w:rPr>
                <w:i/>
                <w:sz w:val="18"/>
                <w:szCs w:val="18"/>
              </w:rPr>
            </w:pPr>
            <w:r w:rsidRPr="00687AC6">
              <w:rPr>
                <w:i/>
                <w:sz w:val="18"/>
                <w:szCs w:val="18"/>
              </w:rPr>
              <w:t>0113</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687AC6" w:rsidRDefault="001737FC" w:rsidP="001737FC">
            <w:pPr>
              <w:contextualSpacing/>
              <w:rPr>
                <w:i/>
                <w:color w:val="000000"/>
                <w:sz w:val="18"/>
                <w:szCs w:val="18"/>
              </w:rPr>
            </w:pPr>
            <w:r w:rsidRPr="00687AC6">
              <w:rPr>
                <w:i/>
                <w:color w:val="000000"/>
                <w:sz w:val="18"/>
                <w:szCs w:val="18"/>
              </w:rPr>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112 215,1</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lang w:val="en-US"/>
              </w:rPr>
              <w:t>258</w:t>
            </w:r>
            <w:r w:rsidRPr="00687AC6">
              <w:rPr>
                <w:i/>
                <w:color w:val="000000"/>
                <w:sz w:val="18"/>
                <w:szCs w:val="18"/>
              </w:rPr>
              <w:t> </w:t>
            </w:r>
            <w:r w:rsidRPr="00687AC6">
              <w:rPr>
                <w:i/>
                <w:color w:val="000000"/>
                <w:sz w:val="18"/>
                <w:szCs w:val="18"/>
                <w:lang w:val="en-US"/>
              </w:rPr>
              <w:t>839,7</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146 624,6</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в 2,3 раза</w:t>
            </w:r>
          </w:p>
        </w:tc>
      </w:tr>
      <w:tr w:rsidR="001737FC" w:rsidRPr="00A27471" w:rsidTr="001737FC">
        <w:trPr>
          <w:trHeight w:val="411"/>
        </w:trPr>
        <w:tc>
          <w:tcPr>
            <w:tcW w:w="732" w:type="dxa"/>
            <w:tcBorders>
              <w:top w:val="nil"/>
              <w:left w:val="double" w:sz="4" w:space="0" w:color="auto"/>
              <w:bottom w:val="single" w:sz="4" w:space="0" w:color="auto"/>
              <w:right w:val="single" w:sz="4" w:space="0" w:color="auto"/>
            </w:tcBorders>
            <w:vAlign w:val="center"/>
          </w:tcPr>
          <w:p w:rsidR="001737FC" w:rsidRPr="00A27471" w:rsidRDefault="001737FC" w:rsidP="001737FC">
            <w:pPr>
              <w:ind w:left="-57" w:right="-57"/>
              <w:contextualSpacing/>
              <w:jc w:val="center"/>
              <w:rPr>
                <w:sz w:val="18"/>
                <w:szCs w:val="18"/>
                <w:lang w:val="en-US"/>
              </w:rPr>
            </w:pPr>
            <w:r w:rsidRPr="00A27471">
              <w:rPr>
                <w:sz w:val="18"/>
                <w:szCs w:val="18"/>
                <w:lang w:val="en-US"/>
              </w:rPr>
              <w:t>9905104</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A27471" w:rsidRDefault="001737FC" w:rsidP="001737FC">
            <w:pPr>
              <w:contextualSpacing/>
              <w:rPr>
                <w:color w:val="000000"/>
                <w:sz w:val="18"/>
                <w:szCs w:val="18"/>
              </w:rPr>
            </w:pPr>
            <w:r w:rsidRPr="00A27471">
              <w:rPr>
                <w:color w:val="000000"/>
                <w:sz w:val="18"/>
                <w:szCs w:val="18"/>
              </w:rPr>
              <w:t>Единовременное пособие гражданам, получившим вред здоровью (теракты 2013 года)</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0,0</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Pr>
                <w:color w:val="000000"/>
                <w:sz w:val="18"/>
                <w:szCs w:val="18"/>
              </w:rPr>
              <w:t>2 </w:t>
            </w:r>
            <w:r w:rsidRPr="00A27471">
              <w:rPr>
                <w:color w:val="000000"/>
                <w:sz w:val="18"/>
                <w:szCs w:val="18"/>
              </w:rPr>
              <w:t>047,0</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Pr>
                <w:color w:val="000000"/>
                <w:sz w:val="18"/>
                <w:szCs w:val="18"/>
              </w:rPr>
              <w:t>2 </w:t>
            </w:r>
            <w:r w:rsidRPr="00A27471">
              <w:rPr>
                <w:color w:val="000000"/>
                <w:sz w:val="18"/>
                <w:szCs w:val="18"/>
              </w:rPr>
              <w:t>047,0</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+100,0</w:t>
            </w:r>
          </w:p>
        </w:tc>
      </w:tr>
      <w:tr w:rsidR="001737FC" w:rsidRPr="00A27471" w:rsidTr="001737FC">
        <w:trPr>
          <w:trHeight w:val="133"/>
        </w:trPr>
        <w:tc>
          <w:tcPr>
            <w:tcW w:w="732" w:type="dxa"/>
            <w:tcBorders>
              <w:top w:val="nil"/>
              <w:left w:val="double" w:sz="4" w:space="0" w:color="auto"/>
              <w:bottom w:val="single" w:sz="4" w:space="0" w:color="auto"/>
              <w:right w:val="single" w:sz="4" w:space="0" w:color="auto"/>
            </w:tcBorders>
            <w:vAlign w:val="center"/>
          </w:tcPr>
          <w:p w:rsidR="001737FC" w:rsidRPr="003D0137" w:rsidRDefault="001737FC" w:rsidP="001737FC">
            <w:pPr>
              <w:ind w:left="-57" w:right="-57"/>
              <w:contextualSpacing/>
              <w:jc w:val="center"/>
              <w:rPr>
                <w:sz w:val="18"/>
                <w:szCs w:val="18"/>
              </w:rPr>
            </w:pPr>
            <w:r w:rsidRPr="003D0137">
              <w:rPr>
                <w:sz w:val="18"/>
                <w:szCs w:val="18"/>
              </w:rPr>
              <w:t>9905224</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3D0137" w:rsidRDefault="001737FC" w:rsidP="001737FC">
            <w:pPr>
              <w:contextualSpacing/>
              <w:rPr>
                <w:color w:val="000000"/>
                <w:sz w:val="18"/>
                <w:szCs w:val="18"/>
              </w:rPr>
            </w:pPr>
            <w:r w:rsidRPr="003D0137">
              <w:rPr>
                <w:color w:val="000000"/>
                <w:sz w:val="18"/>
                <w:szCs w:val="18"/>
              </w:rPr>
              <w:t>Иные межбюджетные трансферты (обустройство граждан Украины)</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3D0137" w:rsidRDefault="001737FC" w:rsidP="001737FC">
            <w:pPr>
              <w:contextualSpacing/>
              <w:jc w:val="center"/>
              <w:rPr>
                <w:color w:val="000000"/>
                <w:sz w:val="18"/>
                <w:szCs w:val="18"/>
              </w:rPr>
            </w:pPr>
            <w:r w:rsidRPr="003D0137">
              <w:rPr>
                <w:color w:val="000000"/>
                <w:sz w:val="18"/>
                <w:szCs w:val="18"/>
              </w:rPr>
              <w:t>81 069,8</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3D0137" w:rsidRDefault="001737FC" w:rsidP="001737FC">
            <w:pPr>
              <w:contextualSpacing/>
              <w:jc w:val="center"/>
              <w:rPr>
                <w:color w:val="000000"/>
                <w:sz w:val="18"/>
                <w:szCs w:val="18"/>
              </w:rPr>
            </w:pPr>
            <w:r w:rsidRPr="003D0137">
              <w:rPr>
                <w:color w:val="000000"/>
                <w:sz w:val="18"/>
                <w:szCs w:val="18"/>
              </w:rPr>
              <w:t>227 861,3</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3D0137" w:rsidRDefault="001737FC" w:rsidP="001737FC">
            <w:pPr>
              <w:contextualSpacing/>
              <w:jc w:val="center"/>
              <w:rPr>
                <w:color w:val="000000"/>
                <w:sz w:val="18"/>
                <w:szCs w:val="18"/>
              </w:rPr>
            </w:pPr>
            <w:r w:rsidRPr="003D0137">
              <w:rPr>
                <w:color w:val="000000"/>
                <w:sz w:val="18"/>
                <w:szCs w:val="18"/>
              </w:rPr>
              <w:t>146 791,5</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3D0137">
              <w:rPr>
                <w:color w:val="000000"/>
                <w:sz w:val="18"/>
                <w:szCs w:val="18"/>
              </w:rPr>
              <w:t>в 2,8 раза</w:t>
            </w:r>
          </w:p>
        </w:tc>
      </w:tr>
      <w:tr w:rsidR="001737FC" w:rsidRPr="00A27471" w:rsidTr="001737FC">
        <w:trPr>
          <w:trHeight w:val="300"/>
        </w:trPr>
        <w:tc>
          <w:tcPr>
            <w:tcW w:w="732" w:type="dxa"/>
            <w:tcBorders>
              <w:top w:val="nil"/>
              <w:left w:val="double" w:sz="4" w:space="0" w:color="auto"/>
              <w:bottom w:val="single" w:sz="4" w:space="0" w:color="auto"/>
              <w:right w:val="single" w:sz="4" w:space="0" w:color="auto"/>
            </w:tcBorders>
            <w:vAlign w:val="center"/>
          </w:tcPr>
          <w:p w:rsidR="001737FC" w:rsidRPr="00A27471" w:rsidRDefault="001737FC" w:rsidP="001737FC">
            <w:pPr>
              <w:ind w:left="-57" w:right="-57"/>
              <w:contextualSpacing/>
              <w:jc w:val="center"/>
              <w:rPr>
                <w:sz w:val="18"/>
                <w:szCs w:val="18"/>
              </w:rPr>
            </w:pPr>
            <w:r w:rsidRPr="00A27471">
              <w:rPr>
                <w:sz w:val="18"/>
                <w:szCs w:val="18"/>
              </w:rPr>
              <w:t>9908067</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A27471" w:rsidRDefault="001737FC" w:rsidP="001737FC">
            <w:pPr>
              <w:contextualSpacing/>
              <w:rPr>
                <w:color w:val="000000"/>
                <w:sz w:val="18"/>
                <w:szCs w:val="18"/>
              </w:rPr>
            </w:pPr>
            <w:r w:rsidRPr="00A27471">
              <w:rPr>
                <w:color w:val="000000"/>
                <w:sz w:val="18"/>
                <w:szCs w:val="18"/>
              </w:rPr>
              <w:t>Резервный фонд Правительства Волгоградской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31 145,2</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Pr>
                <w:color w:val="000000"/>
                <w:sz w:val="18"/>
                <w:szCs w:val="18"/>
              </w:rPr>
              <w:t>28 </w:t>
            </w:r>
            <w:r w:rsidRPr="00A27471">
              <w:rPr>
                <w:color w:val="000000"/>
                <w:sz w:val="18"/>
                <w:szCs w:val="18"/>
              </w:rPr>
              <w:t>931,4</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Pr>
                <w:color w:val="000000"/>
                <w:sz w:val="18"/>
                <w:szCs w:val="18"/>
              </w:rPr>
              <w:t>-2 </w:t>
            </w:r>
            <w:r w:rsidRPr="00A27471">
              <w:rPr>
                <w:color w:val="000000"/>
                <w:sz w:val="18"/>
                <w:szCs w:val="18"/>
              </w:rPr>
              <w:t>213,8</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-7,1</w:t>
            </w:r>
          </w:p>
        </w:tc>
      </w:tr>
      <w:tr w:rsidR="001737FC" w:rsidRPr="00A27471" w:rsidTr="001737FC">
        <w:trPr>
          <w:trHeight w:val="64"/>
        </w:trPr>
        <w:tc>
          <w:tcPr>
            <w:tcW w:w="732" w:type="dxa"/>
            <w:tcBorders>
              <w:top w:val="nil"/>
              <w:left w:val="double" w:sz="4" w:space="0" w:color="auto"/>
              <w:bottom w:val="single" w:sz="4" w:space="0" w:color="auto"/>
              <w:right w:val="single" w:sz="4" w:space="0" w:color="auto"/>
            </w:tcBorders>
            <w:vAlign w:val="center"/>
          </w:tcPr>
          <w:p w:rsidR="001737FC" w:rsidRPr="00687AC6" w:rsidRDefault="001737FC" w:rsidP="001737FC">
            <w:pPr>
              <w:ind w:left="-57" w:right="-57"/>
              <w:contextualSpacing/>
              <w:jc w:val="center"/>
              <w:rPr>
                <w:b/>
                <w:i/>
                <w:sz w:val="18"/>
                <w:szCs w:val="18"/>
              </w:rPr>
            </w:pPr>
            <w:r w:rsidRPr="00687AC6">
              <w:rPr>
                <w:b/>
                <w:i/>
                <w:sz w:val="18"/>
                <w:szCs w:val="18"/>
              </w:rPr>
              <w:t>0200</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687AC6" w:rsidRDefault="001737FC" w:rsidP="001737FC">
            <w:pPr>
              <w:contextualSpacing/>
              <w:rPr>
                <w:b/>
                <w:i/>
                <w:color w:val="000000"/>
                <w:sz w:val="18"/>
                <w:szCs w:val="18"/>
              </w:rPr>
            </w:pPr>
            <w:r w:rsidRPr="00687AC6">
              <w:rPr>
                <w:b/>
                <w:i/>
                <w:color w:val="000000"/>
                <w:sz w:val="18"/>
                <w:szCs w:val="18"/>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rPr>
              <w:t>36,8</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rPr>
              <w:t>0,0</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rPr>
              <w:t>-36,8</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rPr>
              <w:t>-100,0</w:t>
            </w:r>
          </w:p>
        </w:tc>
      </w:tr>
      <w:tr w:rsidR="001737FC" w:rsidRPr="00A27471" w:rsidTr="001737FC">
        <w:trPr>
          <w:trHeight w:val="64"/>
        </w:trPr>
        <w:tc>
          <w:tcPr>
            <w:tcW w:w="732" w:type="dxa"/>
            <w:tcBorders>
              <w:top w:val="nil"/>
              <w:left w:val="double" w:sz="4" w:space="0" w:color="auto"/>
              <w:bottom w:val="single" w:sz="4" w:space="0" w:color="auto"/>
              <w:right w:val="single" w:sz="4" w:space="0" w:color="auto"/>
            </w:tcBorders>
            <w:vAlign w:val="center"/>
          </w:tcPr>
          <w:p w:rsidR="001737FC" w:rsidRPr="00687AC6" w:rsidRDefault="001737FC" w:rsidP="001737FC">
            <w:pPr>
              <w:ind w:left="-57" w:right="-57"/>
              <w:contextualSpacing/>
              <w:jc w:val="center"/>
              <w:rPr>
                <w:i/>
                <w:sz w:val="18"/>
                <w:szCs w:val="18"/>
              </w:rPr>
            </w:pPr>
            <w:r w:rsidRPr="00687AC6">
              <w:rPr>
                <w:i/>
                <w:sz w:val="18"/>
                <w:szCs w:val="18"/>
              </w:rPr>
              <w:t>0204</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687AC6" w:rsidRDefault="001737FC" w:rsidP="001737FC">
            <w:pPr>
              <w:contextualSpacing/>
              <w:rPr>
                <w:i/>
                <w:color w:val="000000"/>
                <w:sz w:val="18"/>
                <w:szCs w:val="18"/>
              </w:rPr>
            </w:pPr>
            <w:r w:rsidRPr="00687AC6">
              <w:rPr>
                <w:i/>
                <w:color w:val="000000"/>
                <w:sz w:val="18"/>
                <w:szCs w:val="18"/>
              </w:rPr>
              <w:t>Мобилизационная подготовка экономики</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36,8</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0,0</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-36,8</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-100,0</w:t>
            </w:r>
          </w:p>
        </w:tc>
      </w:tr>
      <w:tr w:rsidR="001737FC" w:rsidRPr="00A27471" w:rsidTr="001737FC">
        <w:trPr>
          <w:trHeight w:val="64"/>
        </w:trPr>
        <w:tc>
          <w:tcPr>
            <w:tcW w:w="732" w:type="dxa"/>
            <w:tcBorders>
              <w:top w:val="nil"/>
              <w:left w:val="double" w:sz="4" w:space="0" w:color="auto"/>
              <w:bottom w:val="single" w:sz="4" w:space="0" w:color="auto"/>
              <w:right w:val="single" w:sz="4" w:space="0" w:color="auto"/>
            </w:tcBorders>
            <w:vAlign w:val="center"/>
          </w:tcPr>
          <w:p w:rsidR="001737FC" w:rsidRPr="00A27471" w:rsidRDefault="001737FC" w:rsidP="001737FC">
            <w:pPr>
              <w:ind w:left="-57" w:right="-57"/>
              <w:contextualSpacing/>
              <w:jc w:val="center"/>
              <w:rPr>
                <w:sz w:val="18"/>
                <w:szCs w:val="18"/>
              </w:rPr>
            </w:pPr>
            <w:r w:rsidRPr="00A27471">
              <w:rPr>
                <w:sz w:val="18"/>
                <w:szCs w:val="18"/>
              </w:rPr>
              <w:t>6900059</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A27471" w:rsidRDefault="001737FC" w:rsidP="001737FC">
            <w:pPr>
              <w:contextualSpacing/>
              <w:rPr>
                <w:color w:val="000000"/>
                <w:sz w:val="18"/>
                <w:szCs w:val="18"/>
              </w:rPr>
            </w:pPr>
            <w:r w:rsidRPr="00A27471">
              <w:rPr>
                <w:color w:val="000000"/>
                <w:sz w:val="18"/>
                <w:szCs w:val="18"/>
              </w:rPr>
              <w:t>Расходы на обеспечение деятельности (оказание услуг) казенных учреждений</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36,8</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0,0</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-36,8</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-100,0</w:t>
            </w:r>
          </w:p>
        </w:tc>
      </w:tr>
      <w:tr w:rsidR="001737FC" w:rsidRPr="00A27471" w:rsidTr="001737FC">
        <w:trPr>
          <w:trHeight w:val="525"/>
        </w:trPr>
        <w:tc>
          <w:tcPr>
            <w:tcW w:w="732" w:type="dxa"/>
            <w:tcBorders>
              <w:top w:val="nil"/>
              <w:left w:val="double" w:sz="4" w:space="0" w:color="auto"/>
              <w:bottom w:val="single" w:sz="4" w:space="0" w:color="auto"/>
              <w:right w:val="single" w:sz="4" w:space="0" w:color="auto"/>
            </w:tcBorders>
            <w:vAlign w:val="center"/>
          </w:tcPr>
          <w:p w:rsidR="001737FC" w:rsidRPr="00687AC6" w:rsidRDefault="001737FC" w:rsidP="001737FC">
            <w:pPr>
              <w:ind w:left="-57" w:right="-57"/>
              <w:contextualSpacing/>
              <w:jc w:val="center"/>
              <w:rPr>
                <w:b/>
                <w:i/>
                <w:sz w:val="18"/>
                <w:szCs w:val="18"/>
              </w:rPr>
            </w:pPr>
            <w:r w:rsidRPr="00687AC6">
              <w:rPr>
                <w:b/>
                <w:i/>
                <w:sz w:val="18"/>
                <w:szCs w:val="18"/>
              </w:rPr>
              <w:t>0300</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687AC6" w:rsidRDefault="001737FC" w:rsidP="001737FC">
            <w:pPr>
              <w:contextualSpacing/>
              <w:rPr>
                <w:b/>
                <w:i/>
                <w:color w:val="000000"/>
                <w:sz w:val="18"/>
                <w:szCs w:val="18"/>
              </w:rPr>
            </w:pPr>
            <w:r w:rsidRPr="00687AC6">
              <w:rPr>
                <w:b/>
                <w:i/>
                <w:color w:val="000000"/>
                <w:sz w:val="18"/>
                <w:szCs w:val="18"/>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rPr>
              <w:t>463 851,6</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rPr>
              <w:t>474 193,3</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rPr>
              <w:t>10 341,7</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rPr>
              <w:t>+2,2</w:t>
            </w:r>
          </w:p>
        </w:tc>
      </w:tr>
      <w:tr w:rsidR="001737FC" w:rsidRPr="00A27471" w:rsidTr="001737FC">
        <w:trPr>
          <w:trHeight w:val="231"/>
        </w:trPr>
        <w:tc>
          <w:tcPr>
            <w:tcW w:w="732" w:type="dxa"/>
            <w:tcBorders>
              <w:top w:val="nil"/>
              <w:left w:val="double" w:sz="4" w:space="0" w:color="auto"/>
              <w:bottom w:val="single" w:sz="4" w:space="0" w:color="auto"/>
              <w:right w:val="single" w:sz="4" w:space="0" w:color="auto"/>
            </w:tcBorders>
            <w:vAlign w:val="center"/>
          </w:tcPr>
          <w:p w:rsidR="001737FC" w:rsidRPr="00687AC6" w:rsidRDefault="001737FC" w:rsidP="001737FC">
            <w:pPr>
              <w:ind w:left="-57" w:right="-57"/>
              <w:contextualSpacing/>
              <w:jc w:val="center"/>
              <w:rPr>
                <w:i/>
                <w:sz w:val="18"/>
                <w:szCs w:val="18"/>
              </w:rPr>
            </w:pPr>
            <w:r w:rsidRPr="00687AC6">
              <w:rPr>
                <w:i/>
                <w:sz w:val="18"/>
                <w:szCs w:val="18"/>
              </w:rPr>
              <w:t>0309</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687AC6" w:rsidRDefault="001737FC" w:rsidP="001737FC">
            <w:pPr>
              <w:contextualSpacing/>
              <w:rPr>
                <w:i/>
                <w:color w:val="000000"/>
                <w:sz w:val="18"/>
                <w:szCs w:val="18"/>
              </w:rPr>
            </w:pPr>
            <w:r w:rsidRPr="00687AC6">
              <w:rPr>
                <w:i/>
                <w:color w:val="000000"/>
                <w:sz w:val="18"/>
                <w:szCs w:val="18"/>
              </w:rPr>
              <w:t>Защита населения и территории от чрезвычайных ситуаций</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208 621,0</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232 029,0</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23 408,0</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+11,2</w:t>
            </w:r>
          </w:p>
        </w:tc>
      </w:tr>
      <w:tr w:rsidR="001737FC" w:rsidRPr="00A27471" w:rsidTr="001737FC">
        <w:trPr>
          <w:trHeight w:val="64"/>
        </w:trPr>
        <w:tc>
          <w:tcPr>
            <w:tcW w:w="732" w:type="dxa"/>
            <w:tcBorders>
              <w:top w:val="nil"/>
              <w:left w:val="double" w:sz="4" w:space="0" w:color="auto"/>
              <w:bottom w:val="single" w:sz="4" w:space="0" w:color="auto"/>
              <w:right w:val="single" w:sz="4" w:space="0" w:color="auto"/>
            </w:tcBorders>
            <w:vAlign w:val="center"/>
          </w:tcPr>
          <w:p w:rsidR="001737FC" w:rsidRPr="00A27471" w:rsidRDefault="001737FC" w:rsidP="001737FC">
            <w:pPr>
              <w:ind w:left="-57" w:right="-57"/>
              <w:contextualSpacing/>
              <w:jc w:val="center"/>
              <w:rPr>
                <w:sz w:val="18"/>
                <w:szCs w:val="18"/>
              </w:rPr>
            </w:pPr>
            <w:r w:rsidRPr="00A27471">
              <w:rPr>
                <w:sz w:val="18"/>
                <w:szCs w:val="18"/>
              </w:rPr>
              <w:t>0122103</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A27471" w:rsidRDefault="001737FC" w:rsidP="001737FC">
            <w:pPr>
              <w:contextualSpacing/>
              <w:rPr>
                <w:color w:val="000000"/>
                <w:sz w:val="18"/>
                <w:szCs w:val="18"/>
              </w:rPr>
            </w:pPr>
            <w:r w:rsidRPr="00A27471">
              <w:rPr>
                <w:color w:val="000000"/>
                <w:sz w:val="18"/>
                <w:szCs w:val="18"/>
              </w:rPr>
              <w:t>Закупка товаров, работ, услуг для создания системы обеспечения вызова служб «1</w:t>
            </w:r>
            <w:r>
              <w:rPr>
                <w:color w:val="000000"/>
                <w:sz w:val="18"/>
                <w:szCs w:val="18"/>
              </w:rPr>
              <w:t>1</w:t>
            </w:r>
            <w:r w:rsidRPr="00A27471">
              <w:rPr>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0,0</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18 026,8</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Pr>
                <w:color w:val="000000"/>
                <w:sz w:val="18"/>
                <w:szCs w:val="18"/>
              </w:rPr>
              <w:t>18 </w:t>
            </w:r>
            <w:r w:rsidRPr="00A27471">
              <w:rPr>
                <w:color w:val="000000"/>
                <w:sz w:val="18"/>
                <w:szCs w:val="18"/>
              </w:rPr>
              <w:t>026,8</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Pr>
                <w:color w:val="000000"/>
                <w:sz w:val="18"/>
                <w:szCs w:val="18"/>
              </w:rPr>
              <w:t>-</w:t>
            </w:r>
          </w:p>
        </w:tc>
      </w:tr>
      <w:tr w:rsidR="001737FC" w:rsidRPr="00A27471" w:rsidTr="001737FC">
        <w:trPr>
          <w:trHeight w:val="88"/>
        </w:trPr>
        <w:tc>
          <w:tcPr>
            <w:tcW w:w="732" w:type="dxa"/>
            <w:tcBorders>
              <w:top w:val="nil"/>
              <w:left w:val="double" w:sz="4" w:space="0" w:color="auto"/>
              <w:bottom w:val="single" w:sz="4" w:space="0" w:color="auto"/>
              <w:right w:val="single" w:sz="4" w:space="0" w:color="auto"/>
            </w:tcBorders>
            <w:vAlign w:val="center"/>
          </w:tcPr>
          <w:p w:rsidR="001737FC" w:rsidRPr="00A27471" w:rsidRDefault="001737FC" w:rsidP="001737FC">
            <w:pPr>
              <w:ind w:left="-57" w:right="-57"/>
              <w:contextualSpacing/>
              <w:jc w:val="center"/>
              <w:rPr>
                <w:sz w:val="18"/>
                <w:szCs w:val="18"/>
              </w:rPr>
            </w:pPr>
            <w:r w:rsidRPr="00A27471">
              <w:rPr>
                <w:sz w:val="18"/>
                <w:szCs w:val="18"/>
              </w:rPr>
              <w:t>0130059</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A27471" w:rsidRDefault="001737FC" w:rsidP="001737FC">
            <w:pPr>
              <w:contextualSpacing/>
              <w:rPr>
                <w:color w:val="000000"/>
                <w:sz w:val="18"/>
                <w:szCs w:val="18"/>
              </w:rPr>
            </w:pPr>
            <w:r w:rsidRPr="00A27471">
              <w:rPr>
                <w:color w:val="000000"/>
                <w:sz w:val="18"/>
                <w:szCs w:val="18"/>
              </w:rPr>
              <w:t>Расходы на обеспечение деятельности (оказание услуг) казенных учреждений</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146 713,8</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149 194,6</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Pr>
                <w:color w:val="000000"/>
                <w:sz w:val="18"/>
                <w:szCs w:val="18"/>
              </w:rPr>
              <w:t>2 </w:t>
            </w:r>
            <w:r w:rsidRPr="00A27471">
              <w:rPr>
                <w:color w:val="000000"/>
                <w:sz w:val="18"/>
                <w:szCs w:val="18"/>
              </w:rPr>
              <w:t>480,8</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+1,7</w:t>
            </w:r>
          </w:p>
        </w:tc>
      </w:tr>
      <w:tr w:rsidR="001737FC" w:rsidRPr="00A27471" w:rsidTr="001737FC">
        <w:trPr>
          <w:trHeight w:val="64"/>
        </w:trPr>
        <w:tc>
          <w:tcPr>
            <w:tcW w:w="732" w:type="dxa"/>
            <w:tcBorders>
              <w:top w:val="nil"/>
              <w:left w:val="double" w:sz="4" w:space="0" w:color="auto"/>
              <w:bottom w:val="single" w:sz="4" w:space="0" w:color="auto"/>
              <w:right w:val="single" w:sz="4" w:space="0" w:color="auto"/>
            </w:tcBorders>
            <w:vAlign w:val="center"/>
          </w:tcPr>
          <w:p w:rsidR="001737FC" w:rsidRPr="00A27471" w:rsidRDefault="001737FC" w:rsidP="001737FC">
            <w:pPr>
              <w:ind w:left="-57" w:right="-57"/>
              <w:contextualSpacing/>
              <w:jc w:val="center"/>
              <w:rPr>
                <w:sz w:val="18"/>
                <w:szCs w:val="18"/>
              </w:rPr>
            </w:pPr>
            <w:r w:rsidRPr="00A27471">
              <w:rPr>
                <w:sz w:val="18"/>
                <w:szCs w:val="18"/>
              </w:rPr>
              <w:t>0132009</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A27471" w:rsidRDefault="001737FC" w:rsidP="001737FC">
            <w:pPr>
              <w:contextualSpacing/>
              <w:rPr>
                <w:color w:val="000000"/>
                <w:sz w:val="18"/>
                <w:szCs w:val="18"/>
              </w:rPr>
            </w:pPr>
            <w:r w:rsidRPr="00A27471">
              <w:rPr>
                <w:color w:val="000000"/>
                <w:sz w:val="18"/>
                <w:szCs w:val="18"/>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15 268,1</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17 833,8</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Pr>
                <w:color w:val="000000"/>
                <w:sz w:val="18"/>
                <w:szCs w:val="18"/>
              </w:rPr>
              <w:t>2 </w:t>
            </w:r>
            <w:r w:rsidRPr="00A27471">
              <w:rPr>
                <w:color w:val="000000"/>
                <w:sz w:val="18"/>
                <w:szCs w:val="18"/>
              </w:rPr>
              <w:t>565,7</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+16,8</w:t>
            </w:r>
          </w:p>
        </w:tc>
      </w:tr>
      <w:tr w:rsidR="001737FC" w:rsidRPr="00A27471" w:rsidTr="001737FC">
        <w:trPr>
          <w:trHeight w:val="64"/>
        </w:trPr>
        <w:tc>
          <w:tcPr>
            <w:tcW w:w="732" w:type="dxa"/>
            <w:tcBorders>
              <w:top w:val="nil"/>
              <w:left w:val="double" w:sz="4" w:space="0" w:color="auto"/>
              <w:bottom w:val="single" w:sz="4" w:space="0" w:color="auto"/>
              <w:right w:val="single" w:sz="4" w:space="0" w:color="auto"/>
            </w:tcBorders>
            <w:vAlign w:val="center"/>
          </w:tcPr>
          <w:p w:rsidR="001737FC" w:rsidRPr="00A27471" w:rsidRDefault="001737FC" w:rsidP="001737FC">
            <w:pPr>
              <w:ind w:left="-57" w:right="-57"/>
              <w:contextualSpacing/>
              <w:jc w:val="center"/>
              <w:rPr>
                <w:sz w:val="18"/>
                <w:szCs w:val="18"/>
              </w:rPr>
            </w:pPr>
            <w:r w:rsidRPr="00A27471">
              <w:rPr>
                <w:sz w:val="18"/>
                <w:szCs w:val="18"/>
              </w:rPr>
              <w:t>0138014</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A27471" w:rsidRDefault="001737FC" w:rsidP="001737FC">
            <w:pPr>
              <w:contextualSpacing/>
              <w:rPr>
                <w:color w:val="000000"/>
                <w:sz w:val="18"/>
                <w:szCs w:val="18"/>
              </w:rPr>
            </w:pPr>
            <w:r w:rsidRPr="00A27471">
              <w:rPr>
                <w:color w:val="000000"/>
                <w:sz w:val="18"/>
                <w:szCs w:val="18"/>
              </w:rPr>
              <w:t>Уплата налогов и сборов</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2 012,7</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Pr>
                <w:color w:val="000000"/>
                <w:sz w:val="18"/>
                <w:szCs w:val="18"/>
              </w:rPr>
              <w:t>2 </w:t>
            </w:r>
            <w:r w:rsidRPr="00A27471">
              <w:rPr>
                <w:color w:val="000000"/>
                <w:sz w:val="18"/>
                <w:szCs w:val="18"/>
              </w:rPr>
              <w:t>435,0</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422,3</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+21,0</w:t>
            </w:r>
          </w:p>
        </w:tc>
      </w:tr>
      <w:tr w:rsidR="001737FC" w:rsidRPr="00A27471" w:rsidTr="001737FC">
        <w:trPr>
          <w:trHeight w:val="64"/>
        </w:trPr>
        <w:tc>
          <w:tcPr>
            <w:tcW w:w="732" w:type="dxa"/>
            <w:tcBorders>
              <w:top w:val="nil"/>
              <w:left w:val="double" w:sz="4" w:space="0" w:color="auto"/>
              <w:bottom w:val="single" w:sz="4" w:space="0" w:color="auto"/>
              <w:right w:val="single" w:sz="4" w:space="0" w:color="auto"/>
            </w:tcBorders>
            <w:vAlign w:val="center"/>
          </w:tcPr>
          <w:p w:rsidR="001737FC" w:rsidRPr="00A27471" w:rsidRDefault="001737FC" w:rsidP="001737FC">
            <w:pPr>
              <w:ind w:left="-57" w:right="-57"/>
              <w:contextualSpacing/>
              <w:jc w:val="center"/>
              <w:rPr>
                <w:sz w:val="18"/>
                <w:szCs w:val="18"/>
              </w:rPr>
            </w:pPr>
            <w:r w:rsidRPr="00A27471">
              <w:rPr>
                <w:sz w:val="18"/>
                <w:szCs w:val="18"/>
              </w:rPr>
              <w:t>0138087</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A27471" w:rsidRDefault="001737FC" w:rsidP="001737FC">
            <w:pPr>
              <w:contextualSpacing/>
              <w:rPr>
                <w:color w:val="000000"/>
                <w:sz w:val="18"/>
                <w:szCs w:val="18"/>
              </w:rPr>
            </w:pPr>
            <w:r w:rsidRPr="00A27471">
              <w:rPr>
                <w:color w:val="000000"/>
                <w:sz w:val="18"/>
                <w:szCs w:val="18"/>
              </w:rPr>
              <w:t>Исполнение судебных актов</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825,1</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543,3</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-281,8</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-34,2</w:t>
            </w:r>
          </w:p>
        </w:tc>
      </w:tr>
      <w:tr w:rsidR="001737FC" w:rsidRPr="00A27471" w:rsidTr="001737FC">
        <w:trPr>
          <w:trHeight w:val="361"/>
        </w:trPr>
        <w:tc>
          <w:tcPr>
            <w:tcW w:w="732" w:type="dxa"/>
            <w:tcBorders>
              <w:top w:val="nil"/>
              <w:left w:val="double" w:sz="4" w:space="0" w:color="auto"/>
              <w:bottom w:val="single" w:sz="4" w:space="0" w:color="auto"/>
              <w:right w:val="single" w:sz="4" w:space="0" w:color="auto"/>
            </w:tcBorders>
            <w:vAlign w:val="center"/>
          </w:tcPr>
          <w:p w:rsidR="001737FC" w:rsidRPr="00A27471" w:rsidRDefault="001737FC" w:rsidP="001737FC">
            <w:pPr>
              <w:ind w:left="-57" w:right="-57"/>
              <w:contextualSpacing/>
              <w:jc w:val="center"/>
              <w:rPr>
                <w:sz w:val="18"/>
                <w:szCs w:val="18"/>
              </w:rPr>
            </w:pPr>
            <w:r w:rsidRPr="00A27471">
              <w:rPr>
                <w:sz w:val="18"/>
                <w:szCs w:val="18"/>
              </w:rPr>
              <w:t>9000001</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A27471" w:rsidRDefault="001737FC" w:rsidP="001737FC">
            <w:pPr>
              <w:contextualSpacing/>
              <w:rPr>
                <w:color w:val="000000"/>
                <w:sz w:val="18"/>
                <w:szCs w:val="18"/>
              </w:rPr>
            </w:pPr>
            <w:r w:rsidRPr="00A27471">
              <w:rPr>
                <w:color w:val="000000"/>
                <w:sz w:val="18"/>
                <w:szCs w:val="18"/>
              </w:rPr>
              <w:t>Обеспечение деятельности государственных органов Волгоградской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43 415,5</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43</w:t>
            </w:r>
            <w:r>
              <w:rPr>
                <w:color w:val="000000"/>
                <w:sz w:val="18"/>
                <w:szCs w:val="18"/>
              </w:rPr>
              <w:t> </w:t>
            </w:r>
            <w:r w:rsidRPr="00A27471">
              <w:rPr>
                <w:color w:val="000000"/>
                <w:sz w:val="18"/>
                <w:szCs w:val="18"/>
              </w:rPr>
              <w:t>993,5</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578,0</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+1,3</w:t>
            </w:r>
          </w:p>
        </w:tc>
      </w:tr>
      <w:tr w:rsidR="001737FC" w:rsidRPr="00A27471" w:rsidTr="001737FC">
        <w:trPr>
          <w:trHeight w:val="64"/>
        </w:trPr>
        <w:tc>
          <w:tcPr>
            <w:tcW w:w="732" w:type="dxa"/>
            <w:tcBorders>
              <w:top w:val="nil"/>
              <w:left w:val="double" w:sz="4" w:space="0" w:color="auto"/>
              <w:bottom w:val="single" w:sz="4" w:space="0" w:color="auto"/>
              <w:right w:val="single" w:sz="4" w:space="0" w:color="auto"/>
            </w:tcBorders>
            <w:vAlign w:val="center"/>
          </w:tcPr>
          <w:p w:rsidR="001737FC" w:rsidRPr="00A27471" w:rsidRDefault="001737FC" w:rsidP="001737FC">
            <w:pPr>
              <w:ind w:left="-57" w:right="-57"/>
              <w:contextualSpacing/>
              <w:jc w:val="center"/>
              <w:rPr>
                <w:sz w:val="18"/>
                <w:szCs w:val="18"/>
              </w:rPr>
            </w:pPr>
            <w:r w:rsidRPr="00A27471">
              <w:rPr>
                <w:sz w:val="18"/>
                <w:szCs w:val="18"/>
              </w:rPr>
              <w:t>9908014</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A27471" w:rsidRDefault="001737FC" w:rsidP="001737FC">
            <w:pPr>
              <w:contextualSpacing/>
              <w:rPr>
                <w:color w:val="000000"/>
                <w:sz w:val="18"/>
                <w:szCs w:val="18"/>
              </w:rPr>
            </w:pPr>
            <w:r w:rsidRPr="00A27471">
              <w:rPr>
                <w:color w:val="000000"/>
                <w:sz w:val="18"/>
                <w:szCs w:val="18"/>
              </w:rPr>
              <w:t>Уплата налогов и сборов</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385,8</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2,0</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-383,8</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-99,5</w:t>
            </w:r>
          </w:p>
        </w:tc>
      </w:tr>
      <w:tr w:rsidR="001737FC" w:rsidRPr="00A27471" w:rsidTr="001737FC">
        <w:trPr>
          <w:trHeight w:val="64"/>
        </w:trPr>
        <w:tc>
          <w:tcPr>
            <w:tcW w:w="732" w:type="dxa"/>
            <w:tcBorders>
              <w:top w:val="nil"/>
              <w:left w:val="double" w:sz="4" w:space="0" w:color="auto"/>
              <w:bottom w:val="single" w:sz="4" w:space="0" w:color="auto"/>
              <w:right w:val="single" w:sz="4" w:space="0" w:color="auto"/>
            </w:tcBorders>
            <w:vAlign w:val="center"/>
          </w:tcPr>
          <w:p w:rsidR="001737FC" w:rsidRPr="00687AC6" w:rsidRDefault="001737FC" w:rsidP="001737FC">
            <w:pPr>
              <w:ind w:left="-57" w:right="-57"/>
              <w:contextualSpacing/>
              <w:jc w:val="center"/>
              <w:rPr>
                <w:i/>
                <w:sz w:val="18"/>
                <w:szCs w:val="18"/>
              </w:rPr>
            </w:pPr>
            <w:r w:rsidRPr="00687AC6">
              <w:rPr>
                <w:i/>
                <w:sz w:val="18"/>
                <w:szCs w:val="18"/>
              </w:rPr>
              <w:t>0310</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687AC6" w:rsidRDefault="001737FC" w:rsidP="001737FC">
            <w:pPr>
              <w:contextualSpacing/>
              <w:rPr>
                <w:i/>
                <w:color w:val="000000"/>
                <w:sz w:val="18"/>
                <w:szCs w:val="18"/>
              </w:rPr>
            </w:pPr>
            <w:r w:rsidRPr="00687AC6">
              <w:rPr>
                <w:i/>
                <w:color w:val="000000"/>
                <w:sz w:val="18"/>
                <w:szCs w:val="18"/>
              </w:rPr>
              <w:t>Обеспечение пожарной безопасности</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255 230,6</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242 164,2</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-13 066,4</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-5,1</w:t>
            </w:r>
          </w:p>
        </w:tc>
      </w:tr>
      <w:tr w:rsidR="001737FC" w:rsidRPr="00A27471" w:rsidTr="001737FC">
        <w:trPr>
          <w:trHeight w:val="64"/>
        </w:trPr>
        <w:tc>
          <w:tcPr>
            <w:tcW w:w="732" w:type="dxa"/>
            <w:tcBorders>
              <w:top w:val="nil"/>
              <w:left w:val="double" w:sz="4" w:space="0" w:color="auto"/>
              <w:bottom w:val="single" w:sz="4" w:space="0" w:color="auto"/>
              <w:right w:val="single" w:sz="4" w:space="0" w:color="auto"/>
            </w:tcBorders>
            <w:vAlign w:val="center"/>
          </w:tcPr>
          <w:p w:rsidR="001737FC" w:rsidRPr="00A27471" w:rsidRDefault="001737FC" w:rsidP="001737FC">
            <w:pPr>
              <w:ind w:left="-57" w:right="-57"/>
              <w:contextualSpacing/>
              <w:jc w:val="center"/>
              <w:rPr>
                <w:sz w:val="18"/>
                <w:szCs w:val="18"/>
              </w:rPr>
            </w:pPr>
            <w:r w:rsidRPr="00A27471">
              <w:rPr>
                <w:sz w:val="18"/>
                <w:szCs w:val="18"/>
              </w:rPr>
              <w:t>0110059</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A27471" w:rsidRDefault="001737FC" w:rsidP="001737FC">
            <w:pPr>
              <w:contextualSpacing/>
              <w:rPr>
                <w:color w:val="000000"/>
                <w:sz w:val="18"/>
                <w:szCs w:val="18"/>
              </w:rPr>
            </w:pPr>
            <w:r w:rsidRPr="00A27471">
              <w:rPr>
                <w:color w:val="000000"/>
                <w:sz w:val="18"/>
                <w:szCs w:val="18"/>
              </w:rPr>
              <w:t>Расходы на обеспечение деятельности (оказание услуг) казенных учреждений</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251 208,9</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Pr>
                <w:color w:val="000000"/>
                <w:sz w:val="18"/>
                <w:szCs w:val="18"/>
              </w:rPr>
              <w:t>237 </w:t>
            </w:r>
            <w:r w:rsidRPr="00A27471">
              <w:rPr>
                <w:color w:val="000000"/>
                <w:sz w:val="18"/>
                <w:szCs w:val="18"/>
              </w:rPr>
              <w:t>485,5</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Pr>
                <w:color w:val="000000"/>
                <w:sz w:val="18"/>
                <w:szCs w:val="18"/>
              </w:rPr>
              <w:t>-13 </w:t>
            </w:r>
            <w:r w:rsidRPr="00A27471">
              <w:rPr>
                <w:color w:val="000000"/>
                <w:sz w:val="18"/>
                <w:szCs w:val="18"/>
              </w:rPr>
              <w:t>723,4</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-5,1</w:t>
            </w:r>
          </w:p>
        </w:tc>
      </w:tr>
      <w:tr w:rsidR="001737FC" w:rsidRPr="00A27471" w:rsidTr="001737FC">
        <w:trPr>
          <w:trHeight w:val="64"/>
        </w:trPr>
        <w:tc>
          <w:tcPr>
            <w:tcW w:w="732" w:type="dxa"/>
            <w:tcBorders>
              <w:top w:val="nil"/>
              <w:left w:val="double" w:sz="4" w:space="0" w:color="auto"/>
              <w:bottom w:val="single" w:sz="4" w:space="0" w:color="auto"/>
              <w:right w:val="single" w:sz="4" w:space="0" w:color="auto"/>
            </w:tcBorders>
            <w:vAlign w:val="center"/>
          </w:tcPr>
          <w:p w:rsidR="001737FC" w:rsidRPr="00A27471" w:rsidRDefault="001737FC" w:rsidP="001737FC">
            <w:pPr>
              <w:ind w:left="-57" w:right="-57"/>
              <w:contextualSpacing/>
              <w:jc w:val="center"/>
              <w:rPr>
                <w:sz w:val="18"/>
                <w:szCs w:val="18"/>
              </w:rPr>
            </w:pPr>
            <w:r w:rsidRPr="00A27471">
              <w:rPr>
                <w:sz w:val="18"/>
                <w:szCs w:val="18"/>
              </w:rPr>
              <w:t>0118014</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A27471" w:rsidRDefault="001737FC" w:rsidP="001737FC">
            <w:pPr>
              <w:contextualSpacing/>
              <w:rPr>
                <w:color w:val="000000"/>
                <w:sz w:val="18"/>
                <w:szCs w:val="18"/>
              </w:rPr>
            </w:pPr>
            <w:r w:rsidRPr="00A27471">
              <w:rPr>
                <w:color w:val="000000"/>
                <w:sz w:val="18"/>
                <w:szCs w:val="18"/>
              </w:rPr>
              <w:t>Уплата налогов и сборов</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3 916,1</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Pr>
                <w:color w:val="000000"/>
                <w:sz w:val="18"/>
                <w:szCs w:val="18"/>
              </w:rPr>
              <w:t>4 </w:t>
            </w:r>
            <w:r w:rsidRPr="00A27471">
              <w:rPr>
                <w:color w:val="000000"/>
                <w:sz w:val="18"/>
                <w:szCs w:val="18"/>
              </w:rPr>
              <w:t>171,1</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255,0</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+6,5</w:t>
            </w:r>
          </w:p>
        </w:tc>
      </w:tr>
      <w:tr w:rsidR="001737FC" w:rsidRPr="00A27471" w:rsidTr="001737FC">
        <w:trPr>
          <w:trHeight w:val="64"/>
        </w:trPr>
        <w:tc>
          <w:tcPr>
            <w:tcW w:w="732" w:type="dxa"/>
            <w:tcBorders>
              <w:top w:val="nil"/>
              <w:left w:val="double" w:sz="4" w:space="0" w:color="auto"/>
              <w:bottom w:val="single" w:sz="4" w:space="0" w:color="auto"/>
              <w:right w:val="single" w:sz="4" w:space="0" w:color="auto"/>
            </w:tcBorders>
            <w:vAlign w:val="center"/>
          </w:tcPr>
          <w:p w:rsidR="001737FC" w:rsidRPr="00A27471" w:rsidRDefault="001737FC" w:rsidP="001737FC">
            <w:pPr>
              <w:ind w:left="-57" w:right="-57"/>
              <w:contextualSpacing/>
              <w:jc w:val="center"/>
              <w:rPr>
                <w:sz w:val="18"/>
                <w:szCs w:val="18"/>
              </w:rPr>
            </w:pPr>
            <w:r w:rsidRPr="00A27471">
              <w:rPr>
                <w:sz w:val="18"/>
                <w:szCs w:val="18"/>
              </w:rPr>
              <w:t>0118087</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A27471" w:rsidRDefault="001737FC" w:rsidP="001737FC">
            <w:pPr>
              <w:contextualSpacing/>
              <w:rPr>
                <w:color w:val="000000"/>
                <w:sz w:val="18"/>
                <w:szCs w:val="18"/>
              </w:rPr>
            </w:pPr>
            <w:r w:rsidRPr="00A27471">
              <w:rPr>
                <w:color w:val="000000"/>
                <w:sz w:val="18"/>
                <w:szCs w:val="18"/>
              </w:rPr>
              <w:t>Исполнение судебных актов</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105,6</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304,2</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198,6</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в 2,9 раза</w:t>
            </w:r>
          </w:p>
        </w:tc>
      </w:tr>
      <w:tr w:rsidR="001737FC" w:rsidRPr="00A27471" w:rsidTr="001737FC">
        <w:trPr>
          <w:trHeight w:val="64"/>
        </w:trPr>
        <w:tc>
          <w:tcPr>
            <w:tcW w:w="732" w:type="dxa"/>
            <w:tcBorders>
              <w:top w:val="nil"/>
              <w:left w:val="double" w:sz="4" w:space="0" w:color="auto"/>
              <w:bottom w:val="single" w:sz="4" w:space="0" w:color="auto"/>
              <w:right w:val="single" w:sz="4" w:space="0" w:color="auto"/>
            </w:tcBorders>
            <w:vAlign w:val="center"/>
          </w:tcPr>
          <w:p w:rsidR="001737FC" w:rsidRPr="00A27471" w:rsidRDefault="001737FC" w:rsidP="001737FC">
            <w:pPr>
              <w:ind w:left="-57" w:right="-57"/>
              <w:contextualSpacing/>
              <w:jc w:val="center"/>
              <w:rPr>
                <w:sz w:val="18"/>
                <w:szCs w:val="18"/>
              </w:rPr>
            </w:pPr>
            <w:r w:rsidRPr="00A27471">
              <w:rPr>
                <w:sz w:val="18"/>
                <w:szCs w:val="18"/>
              </w:rPr>
              <w:t>9908067</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A27471" w:rsidRDefault="001737FC" w:rsidP="001737FC">
            <w:pPr>
              <w:contextualSpacing/>
              <w:rPr>
                <w:color w:val="000000"/>
                <w:sz w:val="18"/>
                <w:szCs w:val="18"/>
              </w:rPr>
            </w:pPr>
            <w:r w:rsidRPr="00A27471">
              <w:rPr>
                <w:color w:val="000000"/>
                <w:sz w:val="18"/>
                <w:szCs w:val="18"/>
              </w:rPr>
              <w:t>Резервный фонд Правительства Волгоградской области</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203,4</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203,4</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Pr>
                <w:color w:val="000000"/>
                <w:sz w:val="18"/>
                <w:szCs w:val="18"/>
              </w:rPr>
              <w:t>-</w:t>
            </w:r>
          </w:p>
        </w:tc>
      </w:tr>
      <w:tr w:rsidR="001737FC" w:rsidRPr="00A27471" w:rsidTr="001737FC">
        <w:trPr>
          <w:trHeight w:val="64"/>
        </w:trPr>
        <w:tc>
          <w:tcPr>
            <w:tcW w:w="732" w:type="dxa"/>
            <w:tcBorders>
              <w:top w:val="nil"/>
              <w:left w:val="double" w:sz="4" w:space="0" w:color="auto"/>
              <w:bottom w:val="single" w:sz="4" w:space="0" w:color="auto"/>
              <w:right w:val="single" w:sz="4" w:space="0" w:color="auto"/>
            </w:tcBorders>
            <w:vAlign w:val="center"/>
          </w:tcPr>
          <w:p w:rsidR="001737FC" w:rsidRPr="00687AC6" w:rsidRDefault="001737FC" w:rsidP="001737FC">
            <w:pPr>
              <w:ind w:left="-57" w:right="-57"/>
              <w:contextualSpacing/>
              <w:jc w:val="center"/>
              <w:rPr>
                <w:b/>
                <w:i/>
                <w:sz w:val="18"/>
                <w:szCs w:val="18"/>
              </w:rPr>
            </w:pPr>
            <w:r w:rsidRPr="00687AC6">
              <w:rPr>
                <w:b/>
                <w:i/>
                <w:sz w:val="18"/>
                <w:szCs w:val="18"/>
              </w:rPr>
              <w:t>0700</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687AC6" w:rsidRDefault="001737FC" w:rsidP="001737FC">
            <w:pPr>
              <w:contextualSpacing/>
              <w:rPr>
                <w:b/>
                <w:i/>
                <w:color w:val="000000"/>
                <w:sz w:val="18"/>
                <w:szCs w:val="18"/>
              </w:rPr>
            </w:pPr>
            <w:r w:rsidRPr="00687AC6">
              <w:rPr>
                <w:b/>
                <w:i/>
                <w:color w:val="000000"/>
                <w:sz w:val="18"/>
                <w:szCs w:val="18"/>
              </w:rPr>
              <w:t>Образование</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rPr>
              <w:t>14 552,6</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rPr>
              <w:t>13 873,6</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rPr>
              <w:t>-679,0</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687AC6" w:rsidRDefault="001737FC" w:rsidP="001737FC">
            <w:pPr>
              <w:contextualSpacing/>
              <w:jc w:val="center"/>
              <w:rPr>
                <w:b/>
                <w:i/>
                <w:color w:val="000000"/>
                <w:sz w:val="18"/>
                <w:szCs w:val="18"/>
              </w:rPr>
            </w:pPr>
            <w:r w:rsidRPr="00687AC6">
              <w:rPr>
                <w:b/>
                <w:i/>
                <w:color w:val="000000"/>
                <w:sz w:val="18"/>
                <w:szCs w:val="18"/>
              </w:rPr>
              <w:t>-4,7</w:t>
            </w:r>
          </w:p>
        </w:tc>
      </w:tr>
      <w:tr w:rsidR="001737FC" w:rsidRPr="00A27471" w:rsidTr="001737FC">
        <w:trPr>
          <w:trHeight w:val="64"/>
        </w:trPr>
        <w:tc>
          <w:tcPr>
            <w:tcW w:w="732" w:type="dxa"/>
            <w:tcBorders>
              <w:top w:val="nil"/>
              <w:left w:val="double" w:sz="4" w:space="0" w:color="auto"/>
              <w:bottom w:val="single" w:sz="4" w:space="0" w:color="auto"/>
              <w:right w:val="single" w:sz="4" w:space="0" w:color="auto"/>
            </w:tcBorders>
            <w:vAlign w:val="center"/>
          </w:tcPr>
          <w:p w:rsidR="001737FC" w:rsidRPr="00687AC6" w:rsidRDefault="001737FC" w:rsidP="001737FC">
            <w:pPr>
              <w:ind w:left="-57" w:right="-57"/>
              <w:contextualSpacing/>
              <w:jc w:val="center"/>
              <w:rPr>
                <w:i/>
                <w:sz w:val="18"/>
                <w:szCs w:val="18"/>
              </w:rPr>
            </w:pPr>
            <w:r w:rsidRPr="00687AC6">
              <w:rPr>
                <w:i/>
                <w:sz w:val="18"/>
                <w:szCs w:val="18"/>
              </w:rPr>
              <w:lastRenderedPageBreak/>
              <w:t>0705</w:t>
            </w:r>
          </w:p>
        </w:tc>
        <w:tc>
          <w:tcPr>
            <w:tcW w:w="4503" w:type="dxa"/>
            <w:tcBorders>
              <w:top w:val="nil"/>
              <w:left w:val="double" w:sz="4" w:space="0" w:color="auto"/>
              <w:bottom w:val="single" w:sz="4" w:space="0" w:color="auto"/>
              <w:right w:val="single" w:sz="4" w:space="0" w:color="auto"/>
            </w:tcBorders>
            <w:shd w:val="clear" w:color="auto" w:fill="auto"/>
            <w:vAlign w:val="center"/>
            <w:hideMark/>
          </w:tcPr>
          <w:p w:rsidR="001737FC" w:rsidRPr="00687AC6" w:rsidRDefault="001737FC" w:rsidP="001737FC">
            <w:pPr>
              <w:contextualSpacing/>
              <w:rPr>
                <w:i/>
                <w:color w:val="000000"/>
                <w:sz w:val="18"/>
                <w:szCs w:val="18"/>
              </w:rPr>
            </w:pPr>
            <w:r w:rsidRPr="00687AC6">
              <w:rPr>
                <w:i/>
                <w:color w:val="000000"/>
                <w:sz w:val="18"/>
                <w:szCs w:val="18"/>
              </w:rPr>
              <w:t>Профессиональная подготовка, переподготовка и повышение квалификации</w:t>
            </w:r>
          </w:p>
        </w:tc>
        <w:tc>
          <w:tcPr>
            <w:tcW w:w="960"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14 552,6</w:t>
            </w:r>
          </w:p>
        </w:tc>
        <w:tc>
          <w:tcPr>
            <w:tcW w:w="1473"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13 873,6</w:t>
            </w:r>
          </w:p>
        </w:tc>
        <w:tc>
          <w:tcPr>
            <w:tcW w:w="1111" w:type="dxa"/>
            <w:tcBorders>
              <w:top w:val="nil"/>
              <w:left w:val="nil"/>
              <w:bottom w:val="single" w:sz="4" w:space="0" w:color="auto"/>
              <w:right w:val="sing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-679,0</w:t>
            </w:r>
          </w:p>
        </w:tc>
        <w:tc>
          <w:tcPr>
            <w:tcW w:w="873" w:type="dxa"/>
            <w:tcBorders>
              <w:top w:val="nil"/>
              <w:left w:val="nil"/>
              <w:bottom w:val="single" w:sz="4" w:space="0" w:color="auto"/>
              <w:right w:val="double" w:sz="4" w:space="0" w:color="auto"/>
            </w:tcBorders>
            <w:shd w:val="clear" w:color="auto" w:fill="auto"/>
            <w:noWrap/>
            <w:vAlign w:val="center"/>
            <w:hideMark/>
          </w:tcPr>
          <w:p w:rsidR="001737FC" w:rsidRPr="00687AC6" w:rsidRDefault="001737FC" w:rsidP="001737FC">
            <w:pPr>
              <w:contextualSpacing/>
              <w:jc w:val="center"/>
              <w:rPr>
                <w:i/>
                <w:color w:val="000000"/>
                <w:sz w:val="18"/>
                <w:szCs w:val="18"/>
              </w:rPr>
            </w:pPr>
            <w:r w:rsidRPr="00687AC6">
              <w:rPr>
                <w:i/>
                <w:color w:val="000000"/>
                <w:sz w:val="18"/>
                <w:szCs w:val="18"/>
              </w:rPr>
              <w:t>-4,7</w:t>
            </w:r>
          </w:p>
        </w:tc>
      </w:tr>
      <w:tr w:rsidR="001737FC" w:rsidRPr="00A27471" w:rsidTr="001737FC">
        <w:trPr>
          <w:trHeight w:val="219"/>
        </w:trPr>
        <w:tc>
          <w:tcPr>
            <w:tcW w:w="732" w:type="dxa"/>
            <w:tcBorders>
              <w:top w:val="nil"/>
              <w:left w:val="double" w:sz="4" w:space="0" w:color="auto"/>
              <w:bottom w:val="double" w:sz="4" w:space="0" w:color="auto"/>
              <w:right w:val="single" w:sz="4" w:space="0" w:color="auto"/>
            </w:tcBorders>
            <w:vAlign w:val="center"/>
          </w:tcPr>
          <w:p w:rsidR="001737FC" w:rsidRPr="00A27471" w:rsidRDefault="001737FC" w:rsidP="001737FC">
            <w:pPr>
              <w:ind w:left="-57" w:right="-57"/>
              <w:contextualSpacing/>
              <w:jc w:val="center"/>
              <w:rPr>
                <w:sz w:val="18"/>
                <w:szCs w:val="18"/>
              </w:rPr>
            </w:pPr>
            <w:r w:rsidRPr="00A27471">
              <w:rPr>
                <w:sz w:val="18"/>
                <w:szCs w:val="18"/>
              </w:rPr>
              <w:t>0136024</w:t>
            </w:r>
          </w:p>
        </w:tc>
        <w:tc>
          <w:tcPr>
            <w:tcW w:w="4503" w:type="dxa"/>
            <w:tcBorders>
              <w:top w:val="nil"/>
              <w:left w:val="double" w:sz="4" w:space="0" w:color="auto"/>
              <w:bottom w:val="double" w:sz="4" w:space="0" w:color="auto"/>
              <w:right w:val="single" w:sz="4" w:space="0" w:color="auto"/>
            </w:tcBorders>
            <w:shd w:val="clear" w:color="auto" w:fill="auto"/>
            <w:vAlign w:val="center"/>
            <w:hideMark/>
          </w:tcPr>
          <w:p w:rsidR="001737FC" w:rsidRPr="00A27471" w:rsidRDefault="001737FC" w:rsidP="001737FC">
            <w:pPr>
              <w:contextualSpacing/>
              <w:rPr>
                <w:color w:val="000000"/>
                <w:sz w:val="18"/>
                <w:szCs w:val="18"/>
              </w:rPr>
            </w:pPr>
            <w:r w:rsidRPr="00A27471">
              <w:rPr>
                <w:color w:val="000000"/>
                <w:sz w:val="18"/>
                <w:szCs w:val="18"/>
              </w:rPr>
              <w:t>Предоставление образовательных услуг (работ) в сфере гражданской обороны, чрезвычайных ситуаций и пожарной безопасности</w:t>
            </w:r>
          </w:p>
        </w:tc>
        <w:tc>
          <w:tcPr>
            <w:tcW w:w="960" w:type="dxa"/>
            <w:tcBorders>
              <w:top w:val="nil"/>
              <w:left w:val="nil"/>
              <w:bottom w:val="doub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14 552,6</w:t>
            </w:r>
          </w:p>
        </w:tc>
        <w:tc>
          <w:tcPr>
            <w:tcW w:w="1473" w:type="dxa"/>
            <w:tcBorders>
              <w:top w:val="nil"/>
              <w:left w:val="nil"/>
              <w:bottom w:val="doub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Pr>
                <w:color w:val="000000"/>
                <w:sz w:val="18"/>
                <w:szCs w:val="18"/>
              </w:rPr>
              <w:t>13 </w:t>
            </w:r>
            <w:r w:rsidRPr="00A27471">
              <w:rPr>
                <w:color w:val="000000"/>
                <w:sz w:val="18"/>
                <w:szCs w:val="18"/>
              </w:rPr>
              <w:t>873,6</w:t>
            </w:r>
          </w:p>
        </w:tc>
        <w:tc>
          <w:tcPr>
            <w:tcW w:w="1111" w:type="dxa"/>
            <w:tcBorders>
              <w:top w:val="nil"/>
              <w:left w:val="nil"/>
              <w:bottom w:val="double" w:sz="4" w:space="0" w:color="auto"/>
              <w:right w:val="sing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-679,0</w:t>
            </w:r>
          </w:p>
        </w:tc>
        <w:tc>
          <w:tcPr>
            <w:tcW w:w="873" w:type="dxa"/>
            <w:tcBorders>
              <w:top w:val="nil"/>
              <w:left w:val="nil"/>
              <w:bottom w:val="double" w:sz="4" w:space="0" w:color="auto"/>
              <w:right w:val="double" w:sz="4" w:space="0" w:color="auto"/>
            </w:tcBorders>
            <w:shd w:val="clear" w:color="auto" w:fill="auto"/>
            <w:noWrap/>
            <w:vAlign w:val="center"/>
            <w:hideMark/>
          </w:tcPr>
          <w:p w:rsidR="001737FC" w:rsidRPr="00A27471" w:rsidRDefault="001737FC" w:rsidP="001737FC">
            <w:pPr>
              <w:contextualSpacing/>
              <w:jc w:val="center"/>
              <w:rPr>
                <w:color w:val="000000"/>
                <w:sz w:val="18"/>
                <w:szCs w:val="18"/>
              </w:rPr>
            </w:pPr>
            <w:r w:rsidRPr="00A27471">
              <w:rPr>
                <w:color w:val="000000"/>
                <w:sz w:val="18"/>
                <w:szCs w:val="18"/>
              </w:rPr>
              <w:t>-4,7</w:t>
            </w:r>
          </w:p>
        </w:tc>
      </w:tr>
    </w:tbl>
    <w:p w:rsidR="001737FC" w:rsidRDefault="001737FC" w:rsidP="001737FC">
      <w:pPr>
        <w:ind w:firstLine="708"/>
        <w:jc w:val="both"/>
      </w:pPr>
      <w:r>
        <w:t>В 2015 году по отношению к 2014 году отмечен рост расходов Комитета на 156 250,6 тыс. руб.</w:t>
      </w:r>
      <w:r w:rsidR="00294262">
        <w:t xml:space="preserve"> (+</w:t>
      </w:r>
      <w:r>
        <w:t>11,2</w:t>
      </w:r>
      <w:r w:rsidR="00294262">
        <w:t xml:space="preserve">%), который </w:t>
      </w:r>
      <w:r w:rsidRPr="009119AF">
        <w:t>сложился в основном за счет</w:t>
      </w:r>
      <w:r>
        <w:t>:</w:t>
      </w:r>
    </w:p>
    <w:p w:rsidR="001737FC" w:rsidRDefault="001737FC" w:rsidP="001737FC">
      <w:pPr>
        <w:ind w:firstLine="708"/>
        <w:jc w:val="both"/>
      </w:pPr>
      <w:r>
        <w:t xml:space="preserve">- увеличения </w:t>
      </w:r>
      <w:r w:rsidRPr="009119AF">
        <w:t>расходов на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w:t>
      </w:r>
      <w:r>
        <w:t>146 791,5 тыс. руб.</w:t>
      </w:r>
      <w:r w:rsidR="0059097D">
        <w:t>, или в 2,8 раза</w:t>
      </w:r>
      <w:r>
        <w:t>);</w:t>
      </w:r>
    </w:p>
    <w:p w:rsidR="001737FC" w:rsidRDefault="001737FC" w:rsidP="001737FC">
      <w:pPr>
        <w:ind w:firstLine="708"/>
        <w:jc w:val="both"/>
      </w:pPr>
      <w:r>
        <w:t>- увеличения расходов на создание единого центра обработки вызовов системы «112» (</w:t>
      </w:r>
      <w:r w:rsidR="0059097D">
        <w:t>+</w:t>
      </w:r>
      <w:r>
        <w:t>18 026,8 тыс. руб.</w:t>
      </w:r>
      <w:r w:rsidR="0059097D">
        <w:t>, в 2014 году указанные расходы не</w:t>
      </w:r>
      <w:r w:rsidR="00A83A07">
        <w:t xml:space="preserve"> осуществлялись</w:t>
      </w:r>
      <w:r>
        <w:t>).</w:t>
      </w:r>
    </w:p>
    <w:p w:rsidR="00094846" w:rsidRPr="001976BC" w:rsidRDefault="00094846" w:rsidP="00714F3D">
      <w:pPr>
        <w:jc w:val="center"/>
        <w:rPr>
          <w:b/>
          <w:i/>
          <w:color w:val="76923C" w:themeColor="accent3" w:themeShade="BF"/>
        </w:rPr>
      </w:pPr>
    </w:p>
    <w:p w:rsidR="00714F3D" w:rsidRPr="00D54499" w:rsidRDefault="00714F3D" w:rsidP="00714F3D">
      <w:pPr>
        <w:jc w:val="center"/>
        <w:rPr>
          <w:b/>
        </w:rPr>
      </w:pPr>
      <w:r w:rsidRPr="00D54499">
        <w:rPr>
          <w:b/>
        </w:rPr>
        <w:t>Динамика изменения дебиторской и кредиторской задолженностей</w:t>
      </w:r>
    </w:p>
    <w:p w:rsidR="00714F3D" w:rsidRPr="00D54499" w:rsidRDefault="00714F3D" w:rsidP="00714F3D">
      <w:pPr>
        <w:ind w:firstLine="720"/>
        <w:jc w:val="both"/>
        <w:rPr>
          <w:i/>
          <w:u w:val="single"/>
        </w:rPr>
      </w:pPr>
      <w:r w:rsidRPr="00D54499">
        <w:rPr>
          <w:i/>
          <w:u w:val="single"/>
        </w:rPr>
        <w:t>Состояние дебиторской задолженности</w:t>
      </w:r>
    </w:p>
    <w:p w:rsidR="006D6047" w:rsidRDefault="006D6047" w:rsidP="006D6047">
      <w:pPr>
        <w:ind w:firstLine="680"/>
        <w:jc w:val="both"/>
        <w:rPr>
          <w:rFonts w:eastAsia="Calibri"/>
        </w:rPr>
      </w:pPr>
      <w:r w:rsidRPr="00D54499">
        <w:rPr>
          <w:rFonts w:eastAsia="Calibri"/>
        </w:rPr>
        <w:t xml:space="preserve">Дебиторская задолженность Комитета на </w:t>
      </w:r>
      <w:r w:rsidR="00D54499" w:rsidRPr="00D54499">
        <w:rPr>
          <w:rFonts w:eastAsia="Calibri"/>
        </w:rPr>
        <w:t>31.12.2015</w:t>
      </w:r>
      <w:r w:rsidRPr="00D54499">
        <w:rPr>
          <w:rFonts w:eastAsia="Calibri"/>
        </w:rPr>
        <w:t xml:space="preserve"> составила</w:t>
      </w:r>
      <w:r w:rsidRPr="00C06386">
        <w:rPr>
          <w:rFonts w:eastAsia="Calibri"/>
        </w:rPr>
        <w:t xml:space="preserve"> </w:t>
      </w:r>
      <w:r>
        <w:rPr>
          <w:rFonts w:eastAsia="Calibri"/>
        </w:rPr>
        <w:t>3 224,1</w:t>
      </w:r>
      <w:r w:rsidRPr="00C06386">
        <w:rPr>
          <w:rFonts w:eastAsia="Calibri"/>
        </w:rPr>
        <w:t xml:space="preserve"> тыс. руб.</w:t>
      </w:r>
      <w:r>
        <w:rPr>
          <w:rFonts w:eastAsia="Calibri"/>
        </w:rPr>
        <w:t xml:space="preserve"> и увеличилась в течение 2015 года </w:t>
      </w:r>
      <w:r w:rsidRPr="00C06386">
        <w:rPr>
          <w:rFonts w:eastAsia="Calibri"/>
        </w:rPr>
        <w:t>на 9</w:t>
      </w:r>
      <w:r>
        <w:rPr>
          <w:rFonts w:eastAsia="Calibri"/>
        </w:rPr>
        <w:t>0</w:t>
      </w:r>
      <w:r w:rsidRPr="00C06386">
        <w:rPr>
          <w:rFonts w:eastAsia="Calibri"/>
        </w:rPr>
        <w:t>6,</w:t>
      </w:r>
      <w:r>
        <w:rPr>
          <w:rFonts w:eastAsia="Calibri"/>
        </w:rPr>
        <w:t>4</w:t>
      </w:r>
      <w:r w:rsidRPr="00C06386">
        <w:rPr>
          <w:rFonts w:eastAsia="Calibri"/>
        </w:rPr>
        <w:t xml:space="preserve"> тыс. руб.</w:t>
      </w:r>
      <w:r>
        <w:rPr>
          <w:rFonts w:eastAsia="Calibri"/>
        </w:rPr>
        <w:t xml:space="preserve"> (+39,1</w:t>
      </w:r>
      <w:r w:rsidRPr="00C06386">
        <w:rPr>
          <w:rFonts w:eastAsia="Calibri"/>
        </w:rPr>
        <w:t>%</w:t>
      </w:r>
      <w:r>
        <w:rPr>
          <w:rFonts w:eastAsia="Calibri"/>
        </w:rPr>
        <w:t>).</w:t>
      </w:r>
    </w:p>
    <w:p w:rsidR="006D6047" w:rsidRPr="00C06386" w:rsidRDefault="006D6047" w:rsidP="006D6047">
      <w:pPr>
        <w:ind w:firstLine="680"/>
        <w:jc w:val="both"/>
        <w:rPr>
          <w:rFonts w:eastAsia="Calibri"/>
        </w:rPr>
      </w:pPr>
      <w:r w:rsidRPr="00C06386">
        <w:rPr>
          <w:rFonts w:eastAsia="Calibri"/>
        </w:rPr>
        <w:t xml:space="preserve">Основная сумма задолженности приходится на расчеты </w:t>
      </w:r>
      <w:r>
        <w:rPr>
          <w:rFonts w:eastAsia="Calibri"/>
        </w:rPr>
        <w:t xml:space="preserve">по выданным авансам </w:t>
      </w:r>
      <w:r w:rsidRPr="00C06386">
        <w:rPr>
          <w:rFonts w:eastAsia="Calibri"/>
        </w:rPr>
        <w:t xml:space="preserve">– </w:t>
      </w:r>
      <w:r>
        <w:rPr>
          <w:rFonts w:eastAsia="Calibri"/>
        </w:rPr>
        <w:t>2 455,4</w:t>
      </w:r>
      <w:r w:rsidRPr="00C06386">
        <w:rPr>
          <w:rFonts w:eastAsia="Calibri"/>
        </w:rPr>
        <w:t xml:space="preserve"> тыс. руб. </w:t>
      </w:r>
      <w:r>
        <w:rPr>
          <w:rFonts w:eastAsia="Calibri"/>
        </w:rPr>
        <w:t>(предоплата за коммунальные платежи)</w:t>
      </w:r>
      <w:r w:rsidRPr="00C06386">
        <w:rPr>
          <w:rFonts w:eastAsia="Calibri"/>
        </w:rPr>
        <w:t>.</w:t>
      </w:r>
      <w:r>
        <w:rPr>
          <w:rFonts w:eastAsia="Calibri"/>
        </w:rPr>
        <w:t xml:space="preserve"> </w:t>
      </w:r>
      <w:r w:rsidRPr="00C06386">
        <w:rPr>
          <w:rFonts w:eastAsia="Calibri"/>
        </w:rPr>
        <w:t>Нереальная к взыскани</w:t>
      </w:r>
      <w:r w:rsidR="00D54499">
        <w:rPr>
          <w:rFonts w:eastAsia="Calibri"/>
        </w:rPr>
        <w:t>ю дебиторская задолженность на 31.12.2015</w:t>
      </w:r>
      <w:r w:rsidRPr="00C06386">
        <w:rPr>
          <w:rFonts w:eastAsia="Calibri"/>
        </w:rPr>
        <w:t xml:space="preserve"> отсутствует.</w:t>
      </w:r>
    </w:p>
    <w:p w:rsidR="00714F3D" w:rsidRPr="00010858" w:rsidRDefault="00714F3D" w:rsidP="00714F3D">
      <w:pPr>
        <w:ind w:firstLine="720"/>
        <w:jc w:val="both"/>
        <w:rPr>
          <w:i/>
          <w:u w:val="single"/>
        </w:rPr>
      </w:pPr>
      <w:r w:rsidRPr="00010858">
        <w:rPr>
          <w:i/>
          <w:u w:val="single"/>
        </w:rPr>
        <w:t>Состояние кредиторской задолженности</w:t>
      </w:r>
    </w:p>
    <w:p w:rsidR="005A66F1" w:rsidRDefault="00D54499" w:rsidP="005A66F1">
      <w:pPr>
        <w:ind w:firstLine="680"/>
        <w:jc w:val="both"/>
        <w:rPr>
          <w:rFonts w:eastAsia="Calibri"/>
        </w:rPr>
      </w:pPr>
      <w:r w:rsidRPr="003D0137">
        <w:rPr>
          <w:rFonts w:eastAsia="Calibri"/>
        </w:rPr>
        <w:t xml:space="preserve">Кредиторская задолженность Комитета на </w:t>
      </w:r>
      <w:r>
        <w:rPr>
          <w:rFonts w:eastAsia="Calibri"/>
        </w:rPr>
        <w:t>31.12.2015</w:t>
      </w:r>
      <w:r w:rsidRPr="003D0137">
        <w:rPr>
          <w:rFonts w:eastAsia="Calibri"/>
        </w:rPr>
        <w:t xml:space="preserve"> составила </w:t>
      </w:r>
      <w:r>
        <w:rPr>
          <w:rFonts w:eastAsia="Calibri"/>
        </w:rPr>
        <w:t>36 350,0</w:t>
      </w:r>
      <w:r w:rsidRPr="003D0137">
        <w:rPr>
          <w:rFonts w:eastAsia="Calibri"/>
        </w:rPr>
        <w:t xml:space="preserve"> тыс. руб.</w:t>
      </w:r>
      <w:r>
        <w:rPr>
          <w:rFonts w:eastAsia="Calibri"/>
        </w:rPr>
        <w:t xml:space="preserve"> и увеличилась за год н</w:t>
      </w:r>
      <w:r w:rsidRPr="003D0137">
        <w:rPr>
          <w:rFonts w:eastAsia="Calibri"/>
        </w:rPr>
        <w:t xml:space="preserve">а </w:t>
      </w:r>
      <w:r>
        <w:rPr>
          <w:rFonts w:eastAsia="Calibri"/>
        </w:rPr>
        <w:t>3 083,0</w:t>
      </w:r>
      <w:r w:rsidRPr="003D0137">
        <w:rPr>
          <w:rFonts w:eastAsia="Calibri"/>
        </w:rPr>
        <w:t xml:space="preserve"> тыс. руб</w:t>
      </w:r>
      <w:r>
        <w:rPr>
          <w:rFonts w:eastAsia="Calibri"/>
        </w:rPr>
        <w:t xml:space="preserve">. (+9,3%). Наибольшую долю в общей сумме </w:t>
      </w:r>
      <w:r w:rsidRPr="003D0137">
        <w:rPr>
          <w:rFonts w:eastAsia="Calibri"/>
        </w:rPr>
        <w:t xml:space="preserve"> задолженности </w:t>
      </w:r>
      <w:r>
        <w:rPr>
          <w:rFonts w:eastAsia="Calibri"/>
        </w:rPr>
        <w:t>занима</w:t>
      </w:r>
      <w:r w:rsidR="005A66F1">
        <w:rPr>
          <w:rFonts w:eastAsia="Calibri"/>
        </w:rPr>
        <w:t>е</w:t>
      </w:r>
      <w:r>
        <w:rPr>
          <w:rFonts w:eastAsia="Calibri"/>
        </w:rPr>
        <w:t xml:space="preserve">т </w:t>
      </w:r>
      <w:r w:rsidR="005A66F1">
        <w:rPr>
          <w:rFonts w:eastAsia="Calibri"/>
        </w:rPr>
        <w:t xml:space="preserve">задолженность </w:t>
      </w:r>
      <w:r>
        <w:rPr>
          <w:rFonts w:eastAsia="Calibri"/>
        </w:rPr>
        <w:t>по принятым обязательствам  (11 692,3 тыс. руб.)</w:t>
      </w:r>
      <w:r w:rsidR="005A66F1">
        <w:rPr>
          <w:rFonts w:eastAsia="Calibri"/>
        </w:rPr>
        <w:t xml:space="preserve">, которая сложилась за счет </w:t>
      </w:r>
      <w:r w:rsidR="005A66F1" w:rsidRPr="003D0137">
        <w:rPr>
          <w:rFonts w:eastAsia="Calibri"/>
        </w:rPr>
        <w:t>отсутстви</w:t>
      </w:r>
      <w:r w:rsidR="005A66F1">
        <w:rPr>
          <w:rFonts w:eastAsia="Calibri"/>
        </w:rPr>
        <w:t>я</w:t>
      </w:r>
      <w:r w:rsidR="005A66F1" w:rsidRPr="003D0137">
        <w:rPr>
          <w:rFonts w:eastAsia="Calibri"/>
        </w:rPr>
        <w:t xml:space="preserve"> финансирования </w:t>
      </w:r>
      <w:r w:rsidR="005A66F1">
        <w:rPr>
          <w:rFonts w:eastAsia="Calibri"/>
        </w:rPr>
        <w:t xml:space="preserve">по заявкам </w:t>
      </w:r>
      <w:r w:rsidR="005A66F1" w:rsidRPr="006C023D">
        <w:rPr>
          <w:rFonts w:eastAsia="Calibri"/>
        </w:rPr>
        <w:t>на оплату расходов</w:t>
      </w:r>
      <w:r w:rsidR="005A66F1">
        <w:rPr>
          <w:rFonts w:eastAsia="Calibri"/>
        </w:rPr>
        <w:t xml:space="preserve">, </w:t>
      </w:r>
      <w:r w:rsidR="005A66F1" w:rsidRPr="003D0137">
        <w:rPr>
          <w:rFonts w:eastAsia="Calibri"/>
        </w:rPr>
        <w:t>а также непредставлени</w:t>
      </w:r>
      <w:r w:rsidR="005E4AC6">
        <w:rPr>
          <w:rFonts w:eastAsia="Calibri"/>
        </w:rPr>
        <w:t>я</w:t>
      </w:r>
      <w:r w:rsidR="005A66F1" w:rsidRPr="003D0137">
        <w:rPr>
          <w:rFonts w:eastAsia="Calibri"/>
        </w:rPr>
        <w:t xml:space="preserve"> в Комитет поставщиками актов выполненных работ в срок до 25.12.2015.</w:t>
      </w:r>
      <w:r w:rsidR="005A66F1" w:rsidRPr="005A66F1">
        <w:rPr>
          <w:rFonts w:eastAsia="Calibri"/>
        </w:rPr>
        <w:t xml:space="preserve"> </w:t>
      </w:r>
    </w:p>
    <w:p w:rsidR="005A66F1" w:rsidRDefault="005A66F1" w:rsidP="005A66F1">
      <w:pPr>
        <w:ind w:firstLine="680"/>
        <w:jc w:val="both"/>
      </w:pPr>
      <w:r w:rsidRPr="006C023D">
        <w:rPr>
          <w:rFonts w:eastAsia="Calibri"/>
        </w:rPr>
        <w:t>Кроме того, в общей сумме кредиторской задолженности числи</w:t>
      </w:r>
      <w:r w:rsidR="004B13A8">
        <w:rPr>
          <w:rFonts w:eastAsia="Calibri"/>
        </w:rPr>
        <w:t>л</w:t>
      </w:r>
      <w:r w:rsidRPr="006C023D">
        <w:rPr>
          <w:rFonts w:eastAsia="Calibri"/>
        </w:rPr>
        <w:t xml:space="preserve">ся остаток средств </w:t>
      </w:r>
      <w:r w:rsidRPr="006C023D">
        <w:t xml:space="preserve">федерального бюджета на финансовое обеспечение мероприятий по социально-бытовому </w:t>
      </w:r>
      <w:r w:rsidRPr="00AE5DD6">
        <w:t xml:space="preserve">обустройству лиц, вынужденно покинувших территорию Украины,  в </w:t>
      </w:r>
      <w:r w:rsidR="005E4AC6">
        <w:t>размере</w:t>
      </w:r>
      <w:r w:rsidRPr="00AE5DD6">
        <w:t xml:space="preserve"> 18 605,7 тыс. руб</w:t>
      </w:r>
      <w:r w:rsidR="00AE5DD6" w:rsidRPr="00AE5DD6">
        <w:t xml:space="preserve">., который </w:t>
      </w:r>
      <w:r w:rsidR="00010858" w:rsidRPr="00AE5DD6">
        <w:t>возвращен в федеральный бюджет</w:t>
      </w:r>
      <w:r w:rsidR="00AE5DD6" w:rsidRPr="00AE5DD6">
        <w:t xml:space="preserve"> 22.01.2016.</w:t>
      </w:r>
      <w:r w:rsidR="00010858">
        <w:t xml:space="preserve"> </w:t>
      </w:r>
      <w:r>
        <w:t xml:space="preserve"> </w:t>
      </w:r>
    </w:p>
    <w:p w:rsidR="005A66F1" w:rsidRDefault="005A66F1" w:rsidP="005A66F1">
      <w:pPr>
        <w:autoSpaceDE w:val="0"/>
        <w:autoSpaceDN w:val="0"/>
        <w:adjustRightInd w:val="0"/>
        <w:spacing w:line="240" w:lineRule="atLeast"/>
        <w:jc w:val="center"/>
        <w:rPr>
          <w:rFonts w:eastAsia="Calibri"/>
          <w:b/>
          <w:color w:val="76923C" w:themeColor="accent3" w:themeShade="BF"/>
          <w:lang w:eastAsia="en-US"/>
        </w:rPr>
      </w:pPr>
    </w:p>
    <w:p w:rsidR="00010858" w:rsidRPr="00A32F36" w:rsidRDefault="00010858" w:rsidP="00010858">
      <w:pPr>
        <w:autoSpaceDE w:val="0"/>
        <w:autoSpaceDN w:val="0"/>
        <w:adjustRightInd w:val="0"/>
        <w:ind w:firstLine="680"/>
        <w:jc w:val="center"/>
        <w:rPr>
          <w:rFonts w:eastAsia="Calibri"/>
          <w:b/>
        </w:rPr>
      </w:pPr>
      <w:r w:rsidRPr="00A32F36">
        <w:rPr>
          <w:rFonts w:eastAsia="Calibri"/>
          <w:b/>
        </w:rPr>
        <w:t xml:space="preserve">Исполнение государственного задания </w:t>
      </w:r>
    </w:p>
    <w:p w:rsidR="00010858" w:rsidRDefault="00010858" w:rsidP="00010858">
      <w:pPr>
        <w:autoSpaceDE w:val="0"/>
        <w:autoSpaceDN w:val="0"/>
        <w:adjustRightInd w:val="0"/>
        <w:ind w:firstLine="680"/>
        <w:jc w:val="center"/>
        <w:rPr>
          <w:rFonts w:eastAsia="Calibri"/>
          <w:b/>
        </w:rPr>
      </w:pPr>
      <w:r w:rsidRPr="00A32F36">
        <w:rPr>
          <w:rFonts w:eastAsia="Calibri"/>
          <w:b/>
        </w:rPr>
        <w:t>на оказание государственных услуг (выполнение работ) ГБОУ «УМЦ»</w:t>
      </w:r>
    </w:p>
    <w:p w:rsidR="00010858" w:rsidRPr="00B46AB8" w:rsidRDefault="00010858" w:rsidP="00B46AB8">
      <w:pPr>
        <w:pStyle w:val="1"/>
        <w:spacing w:before="0" w:after="0"/>
        <w:ind w:firstLine="680"/>
        <w:jc w:val="both"/>
        <w:rPr>
          <w:rFonts w:ascii="Times New Roman" w:hAnsi="Times New Roman"/>
          <w:b w:val="0"/>
          <w:color w:val="auto"/>
          <w:sz w:val="24"/>
          <w:szCs w:val="24"/>
        </w:rPr>
      </w:pPr>
      <w:r w:rsidRPr="00B46AB8">
        <w:rPr>
          <w:rFonts w:ascii="Times New Roman" w:hAnsi="Times New Roman"/>
          <w:b w:val="0"/>
          <w:color w:val="auto"/>
          <w:sz w:val="24"/>
          <w:szCs w:val="24"/>
        </w:rPr>
        <w:t>Законом об областном бюджете в окончательной р</w:t>
      </w:r>
      <w:r w:rsidR="00501C98">
        <w:rPr>
          <w:rFonts w:ascii="Times New Roman" w:hAnsi="Times New Roman"/>
          <w:b w:val="0"/>
          <w:color w:val="auto"/>
          <w:sz w:val="24"/>
          <w:szCs w:val="24"/>
        </w:rPr>
        <w:t>едакции объем субсидии ГБОУ «УМ</w:t>
      </w:r>
      <w:r w:rsidRPr="00B46AB8">
        <w:rPr>
          <w:rFonts w:ascii="Times New Roman" w:hAnsi="Times New Roman"/>
          <w:b w:val="0"/>
          <w:color w:val="auto"/>
          <w:sz w:val="24"/>
          <w:szCs w:val="24"/>
        </w:rPr>
        <w:t xml:space="preserve">Ц» предусмотрен в размере 15 586,2 тыс. рублей. </w:t>
      </w:r>
      <w:proofErr w:type="gramStart"/>
      <w:r w:rsidRPr="00B46AB8">
        <w:rPr>
          <w:rFonts w:ascii="Times New Roman" w:hAnsi="Times New Roman"/>
          <w:b w:val="0"/>
          <w:color w:val="auto"/>
          <w:sz w:val="24"/>
          <w:szCs w:val="24"/>
        </w:rPr>
        <w:t>Соглашениями о п</w:t>
      </w:r>
      <w:r w:rsidR="00501C98">
        <w:rPr>
          <w:rFonts w:ascii="Times New Roman" w:hAnsi="Times New Roman"/>
          <w:b w:val="0"/>
          <w:color w:val="auto"/>
          <w:sz w:val="24"/>
          <w:szCs w:val="24"/>
        </w:rPr>
        <w:t>редоставлении субсидий ГБОУ «УМ</w:t>
      </w:r>
      <w:r w:rsidRPr="00B46AB8">
        <w:rPr>
          <w:rFonts w:ascii="Times New Roman" w:hAnsi="Times New Roman"/>
          <w:b w:val="0"/>
          <w:color w:val="auto"/>
          <w:sz w:val="24"/>
          <w:szCs w:val="24"/>
        </w:rPr>
        <w:t>Ц» предусмотрены обязательства по предоставлению субсидий на финансовое обеспечение выполнения государственного задания в размере 14 874,0 тыс. руб. и на иные цели - 109,8 тыс. руб., всего на сумму 14 983,8 тыс. руб., или на 602,4 тыс. руб. меньше бюджетных ассигнований, предусмотренных Законом об областном бюджете, что объясняется уменьшением финансирования.</w:t>
      </w:r>
      <w:proofErr w:type="gramEnd"/>
    </w:p>
    <w:p w:rsidR="00010858" w:rsidRPr="00B46AB8" w:rsidRDefault="00010858" w:rsidP="00B46AB8">
      <w:pPr>
        <w:ind w:firstLine="680"/>
        <w:jc w:val="both"/>
      </w:pPr>
      <w:r w:rsidRPr="00B46AB8">
        <w:t>Профинансирована субсидия на иные цели в полном объеме, а на государственное задание в размере 13 763,8 тыс. руб., или на 91,9 процента.</w:t>
      </w:r>
    </w:p>
    <w:p w:rsidR="0042280D" w:rsidRDefault="00B46AB8" w:rsidP="00B46AB8">
      <w:pPr>
        <w:ind w:firstLine="680"/>
        <w:jc w:val="both"/>
        <w:rPr>
          <w:rFonts w:eastAsia="Calibri"/>
        </w:rPr>
      </w:pPr>
      <w:r w:rsidRPr="00B46AB8">
        <w:t>О</w:t>
      </w:r>
      <w:r w:rsidR="00010858" w:rsidRPr="00B46AB8">
        <w:t xml:space="preserve">бъем </w:t>
      </w:r>
      <w:r w:rsidRPr="00B46AB8">
        <w:t xml:space="preserve">услуги государственного задания по </w:t>
      </w:r>
      <w:r w:rsidR="00010858" w:rsidRPr="00B46AB8">
        <w:rPr>
          <w:rFonts w:eastAsia="Calibri"/>
        </w:rPr>
        <w:t>обучени</w:t>
      </w:r>
      <w:r w:rsidRPr="00B46AB8">
        <w:rPr>
          <w:rFonts w:eastAsia="Calibri"/>
        </w:rPr>
        <w:t>ю</w:t>
      </w:r>
      <w:r w:rsidR="00010858" w:rsidRPr="00B46AB8">
        <w:rPr>
          <w:rFonts w:eastAsia="Calibri"/>
        </w:rPr>
        <w:t xml:space="preserve"> в области гражданской обороны, защиты от чрезвычайных ситуаций природного и техногенного характера и пожарной безопасности</w:t>
      </w:r>
      <w:r w:rsidRPr="00B46AB8">
        <w:rPr>
          <w:rFonts w:eastAsia="Calibri"/>
        </w:rPr>
        <w:t xml:space="preserve"> составил</w:t>
      </w:r>
      <w:r w:rsidR="00010858" w:rsidRPr="00B46AB8">
        <w:t xml:space="preserve"> 1821 чел. слушателей.</w:t>
      </w:r>
      <w:r w:rsidRPr="00B46AB8">
        <w:t xml:space="preserve"> Фактически за 2015 год прошли обучение 1985 слушателей. Согласно отчету об исполнении государственного задания за 2015 год перевыполнение объема государственного задания обусловлено внеплановым обучением 164 чел. диспетчеров скорой медицинской помощи «03» в рамках их подготовки к работе по обеспечению вызова экстренных оперативных служб по единому номеру «112».</w:t>
      </w:r>
      <w:r w:rsidR="0042280D">
        <w:t xml:space="preserve"> </w:t>
      </w:r>
      <w:r w:rsidR="0042280D">
        <w:lastRenderedPageBreak/>
        <w:t xml:space="preserve">Перевыполнение </w:t>
      </w:r>
      <w:r w:rsidR="0042280D">
        <w:rPr>
          <w:rFonts w:eastAsia="Calibri"/>
        </w:rPr>
        <w:t>объема государственной услуги в натуральном показател</w:t>
      </w:r>
      <w:r w:rsidR="003B6FF3">
        <w:rPr>
          <w:rFonts w:eastAsia="Calibri"/>
        </w:rPr>
        <w:t>е</w:t>
      </w:r>
      <w:r w:rsidR="0042280D">
        <w:rPr>
          <w:rFonts w:eastAsia="Calibri"/>
        </w:rPr>
        <w:t xml:space="preserve"> (количество слушателей</w:t>
      </w:r>
      <w:r w:rsidR="003B6FF3">
        <w:rPr>
          <w:rFonts w:eastAsia="Calibri"/>
        </w:rPr>
        <w:t xml:space="preserve">, обученных </w:t>
      </w:r>
      <w:r w:rsidR="0042280D">
        <w:rPr>
          <w:rFonts w:eastAsia="Calibri"/>
        </w:rPr>
        <w:t>на бесплатной основе) при</w:t>
      </w:r>
      <w:r w:rsidR="0042280D">
        <w:t xml:space="preserve"> недофинансировании субсидии на государственное задание</w:t>
      </w:r>
      <w:r w:rsidR="0042280D" w:rsidRPr="0042280D">
        <w:rPr>
          <w:rFonts w:eastAsia="Calibri"/>
          <w:b/>
        </w:rPr>
        <w:t xml:space="preserve"> </w:t>
      </w:r>
      <w:r w:rsidR="0042280D" w:rsidRPr="0042280D">
        <w:rPr>
          <w:rFonts w:eastAsia="Calibri"/>
        </w:rPr>
        <w:t>ГБОУ «УМЦ»</w:t>
      </w:r>
      <w:r w:rsidR="0042280D">
        <w:rPr>
          <w:rFonts w:eastAsia="Calibri"/>
        </w:rPr>
        <w:t xml:space="preserve"> произошло за счет доходов от </w:t>
      </w:r>
      <w:r w:rsidR="003B6FF3">
        <w:rPr>
          <w:rFonts w:eastAsia="Calibri"/>
        </w:rPr>
        <w:t xml:space="preserve">оказания </w:t>
      </w:r>
      <w:r w:rsidR="0042280D">
        <w:rPr>
          <w:rFonts w:eastAsia="Calibri"/>
        </w:rPr>
        <w:t>платных услуг.</w:t>
      </w:r>
    </w:p>
    <w:p w:rsidR="003B6FF3" w:rsidRDefault="003B6FF3" w:rsidP="00B46AB8">
      <w:pPr>
        <w:ind w:firstLine="680"/>
        <w:jc w:val="both"/>
        <w:rPr>
          <w:rFonts w:eastAsia="Calibri"/>
        </w:rPr>
      </w:pPr>
      <w:r>
        <w:rPr>
          <w:rFonts w:eastAsia="Calibri"/>
        </w:rPr>
        <w:t>План финансово-хозяйственной деятельности по приносящей доход деятельности на 2015 год утвержден в размере 5 500,0 тыс. руб. и фактически перевыполнен на 430,8 тыс. руб. (+8,0%).</w:t>
      </w:r>
    </w:p>
    <w:p w:rsidR="00010858" w:rsidRPr="00B46AB8" w:rsidRDefault="00010858" w:rsidP="00B46AB8">
      <w:pPr>
        <w:ind w:firstLine="680"/>
        <w:jc w:val="both"/>
      </w:pPr>
      <w:r w:rsidRPr="00B46AB8">
        <w:t xml:space="preserve">Согласно п. 2 Положения о формировании и финансовом обеспечении выполнения государственного задания, утвержденного постановлением Администрации Волгоградской области от 25.04.2011 № 171-п, государственное задание устанавливает, в частности, порядок </w:t>
      </w:r>
      <w:proofErr w:type="gramStart"/>
      <w:r w:rsidRPr="00B46AB8">
        <w:t>контроля за</w:t>
      </w:r>
      <w:proofErr w:type="gramEnd"/>
      <w:r w:rsidRPr="00B46AB8">
        <w:t xml:space="preserve"> его исполнением.</w:t>
      </w:r>
    </w:p>
    <w:p w:rsidR="00010858" w:rsidRPr="00B46AB8" w:rsidRDefault="00386CC9" w:rsidP="00B46AB8">
      <w:pPr>
        <w:ind w:firstLine="680"/>
        <w:jc w:val="both"/>
      </w:pPr>
      <w:r>
        <w:t xml:space="preserve">В разделе 7 «Порядок </w:t>
      </w:r>
      <w:proofErr w:type="gramStart"/>
      <w:r>
        <w:t>контроля за</w:t>
      </w:r>
      <w:proofErr w:type="gramEnd"/>
      <w:r>
        <w:t xml:space="preserve"> исполнением государственного задания» г</w:t>
      </w:r>
      <w:r w:rsidR="00010858" w:rsidRPr="00B46AB8">
        <w:t>о</w:t>
      </w:r>
      <w:r w:rsidR="00501C98">
        <w:t>сударственн</w:t>
      </w:r>
      <w:r>
        <w:t>ого</w:t>
      </w:r>
      <w:r w:rsidR="00501C98">
        <w:t xml:space="preserve"> задани</w:t>
      </w:r>
      <w:r>
        <w:t>я</w:t>
      </w:r>
      <w:r w:rsidR="00501C98">
        <w:t xml:space="preserve"> ГБОУ «УМ</w:t>
      </w:r>
      <w:r w:rsidR="00010858" w:rsidRPr="00B46AB8">
        <w:t>Ц» на 2015 год, утвержденн</w:t>
      </w:r>
      <w:r w:rsidR="006452D9">
        <w:t>ого</w:t>
      </w:r>
      <w:r w:rsidR="00010858" w:rsidRPr="00B46AB8">
        <w:t xml:space="preserve"> приказом Комитета от 02.12.2014 № 291, предусмотрен</w:t>
      </w:r>
      <w:r w:rsidR="006452D9">
        <w:t xml:space="preserve">о проведение Комитетом </w:t>
      </w:r>
      <w:r w:rsidR="00010858" w:rsidRPr="00B46AB8">
        <w:t xml:space="preserve">выездной проверки </w:t>
      </w:r>
      <w:r w:rsidR="006452D9">
        <w:t xml:space="preserve">учреждения </w:t>
      </w:r>
      <w:r w:rsidR="00010858" w:rsidRPr="00B46AB8">
        <w:t>с периодичностью не реже одного раза в год.</w:t>
      </w:r>
      <w:r w:rsidR="00EA5D33">
        <w:t xml:space="preserve"> </w:t>
      </w:r>
      <w:r w:rsidR="00010858" w:rsidRPr="00B46AB8">
        <w:t xml:space="preserve">Вместе </w:t>
      </w:r>
      <w:r w:rsidR="00501C98">
        <w:t>с тем выездная проверка ГБОУ «УМ</w:t>
      </w:r>
      <w:r w:rsidR="00010858" w:rsidRPr="00B46AB8">
        <w:t>Ц» в рамках внутреннего</w:t>
      </w:r>
      <w:r w:rsidR="004A5707">
        <w:t xml:space="preserve"> финансов</w:t>
      </w:r>
      <w:r w:rsidR="0000551C">
        <w:t>о</w:t>
      </w:r>
      <w:r w:rsidR="004A5707">
        <w:t>го</w:t>
      </w:r>
      <w:r w:rsidR="00010858" w:rsidRPr="00B46AB8">
        <w:t xml:space="preserve"> контроля Комитетом в 2015 году не проводилась. </w:t>
      </w:r>
    </w:p>
    <w:p w:rsidR="00010858" w:rsidRPr="00B46AB8" w:rsidRDefault="00010858" w:rsidP="00B46AB8">
      <w:pPr>
        <w:ind w:firstLine="680"/>
        <w:jc w:val="center"/>
      </w:pPr>
    </w:p>
    <w:p w:rsidR="0071656D" w:rsidRPr="004E7DAD" w:rsidRDefault="0071656D" w:rsidP="0071656D">
      <w:pPr>
        <w:ind w:firstLine="680"/>
        <w:jc w:val="center"/>
        <w:rPr>
          <w:b/>
        </w:rPr>
      </w:pPr>
      <w:r w:rsidRPr="004E7DAD">
        <w:rPr>
          <w:b/>
        </w:rPr>
        <w:t xml:space="preserve">Государственная программа Волгоградской области </w:t>
      </w:r>
    </w:p>
    <w:p w:rsidR="0071656D" w:rsidRPr="004E7DAD" w:rsidRDefault="0071656D" w:rsidP="0071656D">
      <w:pPr>
        <w:ind w:firstLine="680"/>
        <w:jc w:val="center"/>
        <w:rPr>
          <w:b/>
        </w:rPr>
      </w:pPr>
      <w:r w:rsidRPr="004E7DAD">
        <w:rPr>
          <w:b/>
        </w:rPr>
        <w:t xml:space="preserve">«Защита населения и территории от чрезвычайных ситуаций, </w:t>
      </w:r>
    </w:p>
    <w:p w:rsidR="0071656D" w:rsidRPr="004E7DAD" w:rsidRDefault="0071656D" w:rsidP="0071656D">
      <w:pPr>
        <w:ind w:firstLine="680"/>
        <w:jc w:val="center"/>
      </w:pPr>
      <w:r w:rsidRPr="004E7DAD">
        <w:rPr>
          <w:b/>
        </w:rPr>
        <w:t>обеспечение пожарной безопасности» на 2014-2017 годы (далее – Госпрограмма)</w:t>
      </w:r>
    </w:p>
    <w:p w:rsidR="00E94D59" w:rsidRDefault="00AD2306" w:rsidP="0071656D">
      <w:pPr>
        <w:ind w:firstLine="680"/>
        <w:jc w:val="both"/>
      </w:pPr>
      <w:r>
        <w:t xml:space="preserve">В 2015 году деятельность Комитета осуществлялась в рамках </w:t>
      </w:r>
      <w:r w:rsidR="0071656D" w:rsidRPr="004E7DAD">
        <w:t>Госпрограмм</w:t>
      </w:r>
      <w:r>
        <w:t xml:space="preserve">ы, </w:t>
      </w:r>
      <w:r w:rsidR="0071656D" w:rsidRPr="004E7DAD">
        <w:t xml:space="preserve"> утвержден</w:t>
      </w:r>
      <w:r>
        <w:t xml:space="preserve">ной </w:t>
      </w:r>
      <w:r w:rsidR="0071656D" w:rsidRPr="004E7DAD">
        <w:t xml:space="preserve">постановлением Правительства Волгоградской области от 22.11.2013 № 650-п. </w:t>
      </w:r>
    </w:p>
    <w:p w:rsidR="00E94D59" w:rsidRDefault="00E94D59" w:rsidP="0071656D">
      <w:pPr>
        <w:ind w:firstLine="680"/>
        <w:jc w:val="both"/>
      </w:pPr>
      <w:r>
        <w:t xml:space="preserve">Ответственным исполнителем Госпрограммы является Комитет, а соисполнителями - комитет здравоохранения Волгоградской области, комитет образования и науки Волгоградской области, комитет социальной защиты населения Волгоградской области, </w:t>
      </w:r>
      <w:proofErr w:type="spellStart"/>
      <w:r>
        <w:t>комит</w:t>
      </w:r>
      <w:proofErr w:type="spellEnd"/>
      <w:r>
        <w:t xml:space="preserve"> информационных технологий Волгоградской области. </w:t>
      </w:r>
    </w:p>
    <w:p w:rsidR="0071656D" w:rsidRPr="004E7DAD" w:rsidRDefault="0071656D" w:rsidP="0071656D">
      <w:pPr>
        <w:ind w:firstLine="680"/>
        <w:jc w:val="both"/>
      </w:pPr>
      <w:r w:rsidRPr="004E7DAD">
        <w:t>В Госпрограмму включены три подпрограммы:</w:t>
      </w:r>
    </w:p>
    <w:p w:rsidR="0071656D" w:rsidRPr="004E7DAD" w:rsidRDefault="0071656D" w:rsidP="0071656D">
      <w:pPr>
        <w:autoSpaceDE w:val="0"/>
        <w:autoSpaceDN w:val="0"/>
        <w:adjustRightInd w:val="0"/>
        <w:ind w:firstLine="680"/>
        <w:jc w:val="both"/>
      </w:pPr>
      <w:r w:rsidRPr="004E7DAD">
        <w:t>- «Пожарная безопасность Волгоградской области на 2014-2017 годы»;</w:t>
      </w:r>
    </w:p>
    <w:p w:rsidR="0071656D" w:rsidRPr="004E7DAD" w:rsidRDefault="0071656D" w:rsidP="0071656D">
      <w:pPr>
        <w:autoSpaceDE w:val="0"/>
        <w:autoSpaceDN w:val="0"/>
        <w:adjustRightInd w:val="0"/>
        <w:ind w:firstLine="680"/>
        <w:jc w:val="both"/>
      </w:pPr>
      <w:r w:rsidRPr="004E7DAD">
        <w:t>- «Создание системы обеспечения вызова экстренных оперативных служб по единому номеру «112» на базе единых дежурно-диспетчерских служб городских округов и муниципальных районов в Волгоградской области на 2014-2017 годы»;</w:t>
      </w:r>
    </w:p>
    <w:p w:rsidR="0071656D" w:rsidRPr="004E7DAD" w:rsidRDefault="0071656D" w:rsidP="0071656D">
      <w:pPr>
        <w:autoSpaceDE w:val="0"/>
        <w:autoSpaceDN w:val="0"/>
        <w:adjustRightInd w:val="0"/>
        <w:ind w:firstLine="680"/>
        <w:jc w:val="both"/>
      </w:pPr>
      <w:r w:rsidRPr="004E7DAD">
        <w:t>- «Защита населения и территорий от чрезвычайных ситуаций на 2015-2017 годы».</w:t>
      </w:r>
    </w:p>
    <w:p w:rsidR="0071656D" w:rsidRPr="004E7DAD" w:rsidRDefault="0071656D" w:rsidP="0071656D">
      <w:pPr>
        <w:autoSpaceDE w:val="0"/>
        <w:autoSpaceDN w:val="0"/>
        <w:adjustRightInd w:val="0"/>
        <w:ind w:firstLine="680"/>
        <w:jc w:val="both"/>
      </w:pPr>
      <w:r w:rsidRPr="004E7DAD">
        <w:t xml:space="preserve">Госпрограмма содержит 5 целевых показателей, информация о достижении которых </w:t>
      </w:r>
      <w:r w:rsidR="002A4288">
        <w:t>с</w:t>
      </w:r>
      <w:r w:rsidR="002A4288" w:rsidRPr="0076691D">
        <w:t>огласно годовому докладу о ходе</w:t>
      </w:r>
      <w:r w:rsidR="002A4288" w:rsidRPr="004E7DAD">
        <w:t xml:space="preserve"> реализации Госпрограммы (далее – Годовой доклад)</w:t>
      </w:r>
      <w:r w:rsidR="002A4288">
        <w:t xml:space="preserve"> </w:t>
      </w:r>
      <w:r w:rsidRPr="004E7DAD">
        <w:t>представлена в таблице.</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12"/>
        <w:gridCol w:w="993"/>
        <w:gridCol w:w="992"/>
        <w:gridCol w:w="992"/>
        <w:gridCol w:w="932"/>
      </w:tblGrid>
      <w:tr w:rsidR="0071656D" w:rsidRPr="004E7DAD" w:rsidTr="00F82113">
        <w:trPr>
          <w:trHeight w:val="170"/>
          <w:jc w:val="center"/>
        </w:trPr>
        <w:tc>
          <w:tcPr>
            <w:tcW w:w="5612" w:type="dxa"/>
            <w:shd w:val="clear" w:color="auto" w:fill="EAF1DD" w:themeFill="accent3" w:themeFillTint="33"/>
            <w:vAlign w:val="center"/>
            <w:hideMark/>
          </w:tcPr>
          <w:p w:rsidR="0071656D" w:rsidRPr="00F82113" w:rsidRDefault="0071656D" w:rsidP="00F77332">
            <w:pPr>
              <w:ind w:firstLine="680"/>
              <w:rPr>
                <w:b/>
                <w:sz w:val="18"/>
                <w:szCs w:val="18"/>
              </w:rPr>
            </w:pPr>
            <w:r w:rsidRPr="00F82113">
              <w:rPr>
                <w:b/>
                <w:sz w:val="18"/>
                <w:szCs w:val="18"/>
              </w:rPr>
              <w:t>Наименование целевого показателя</w:t>
            </w:r>
          </w:p>
        </w:tc>
        <w:tc>
          <w:tcPr>
            <w:tcW w:w="993" w:type="dxa"/>
            <w:shd w:val="clear" w:color="auto" w:fill="EAF1DD" w:themeFill="accent3" w:themeFillTint="33"/>
            <w:vAlign w:val="center"/>
            <w:hideMark/>
          </w:tcPr>
          <w:p w:rsidR="0071656D" w:rsidRPr="00F82113" w:rsidRDefault="0071656D" w:rsidP="00F77332">
            <w:pPr>
              <w:rPr>
                <w:b/>
                <w:sz w:val="18"/>
                <w:szCs w:val="18"/>
              </w:rPr>
            </w:pPr>
            <w:r w:rsidRPr="00F82113">
              <w:rPr>
                <w:b/>
                <w:sz w:val="18"/>
                <w:szCs w:val="18"/>
              </w:rPr>
              <w:t xml:space="preserve">Ед. </w:t>
            </w:r>
            <w:proofErr w:type="spellStart"/>
            <w:r w:rsidRPr="00F82113">
              <w:rPr>
                <w:b/>
                <w:sz w:val="18"/>
                <w:szCs w:val="18"/>
              </w:rPr>
              <w:t>изм</w:t>
            </w:r>
            <w:proofErr w:type="spellEnd"/>
            <w:r w:rsidRPr="00F82113">
              <w:rPr>
                <w:b/>
                <w:sz w:val="18"/>
                <w:szCs w:val="18"/>
              </w:rPr>
              <w:t>.</w:t>
            </w:r>
          </w:p>
        </w:tc>
        <w:tc>
          <w:tcPr>
            <w:tcW w:w="992" w:type="dxa"/>
            <w:shd w:val="clear" w:color="auto" w:fill="EAF1DD" w:themeFill="accent3" w:themeFillTint="33"/>
            <w:vAlign w:val="center"/>
          </w:tcPr>
          <w:p w:rsidR="00D649D7" w:rsidRPr="00F82113" w:rsidRDefault="0071656D" w:rsidP="00F77332">
            <w:pPr>
              <w:rPr>
                <w:b/>
                <w:sz w:val="18"/>
                <w:szCs w:val="18"/>
              </w:rPr>
            </w:pPr>
            <w:r w:rsidRPr="00F82113">
              <w:rPr>
                <w:b/>
                <w:sz w:val="18"/>
                <w:szCs w:val="18"/>
              </w:rPr>
              <w:t xml:space="preserve">План </w:t>
            </w:r>
          </w:p>
          <w:p w:rsidR="0071656D" w:rsidRPr="00F82113" w:rsidRDefault="0071656D" w:rsidP="00F77332">
            <w:pPr>
              <w:rPr>
                <w:b/>
                <w:sz w:val="18"/>
                <w:szCs w:val="18"/>
              </w:rPr>
            </w:pPr>
            <w:r w:rsidRPr="00F82113">
              <w:rPr>
                <w:b/>
                <w:sz w:val="18"/>
                <w:szCs w:val="18"/>
              </w:rPr>
              <w:t>2015 г.</w:t>
            </w:r>
          </w:p>
        </w:tc>
        <w:tc>
          <w:tcPr>
            <w:tcW w:w="992" w:type="dxa"/>
            <w:shd w:val="clear" w:color="auto" w:fill="EAF1DD" w:themeFill="accent3" w:themeFillTint="33"/>
            <w:vAlign w:val="center"/>
          </w:tcPr>
          <w:p w:rsidR="0071656D" w:rsidRPr="00F82113" w:rsidRDefault="0071656D" w:rsidP="00F77332">
            <w:pPr>
              <w:rPr>
                <w:b/>
                <w:sz w:val="18"/>
                <w:szCs w:val="18"/>
              </w:rPr>
            </w:pPr>
            <w:r w:rsidRPr="00F82113">
              <w:rPr>
                <w:b/>
                <w:sz w:val="18"/>
                <w:szCs w:val="18"/>
              </w:rPr>
              <w:t>Факт</w:t>
            </w:r>
          </w:p>
          <w:p w:rsidR="0071656D" w:rsidRPr="00F82113" w:rsidRDefault="0071656D" w:rsidP="00F77332">
            <w:pPr>
              <w:rPr>
                <w:b/>
                <w:sz w:val="18"/>
                <w:szCs w:val="18"/>
              </w:rPr>
            </w:pPr>
            <w:r w:rsidRPr="00F82113">
              <w:rPr>
                <w:b/>
                <w:sz w:val="18"/>
                <w:szCs w:val="18"/>
              </w:rPr>
              <w:t>2015 г.</w:t>
            </w:r>
          </w:p>
        </w:tc>
        <w:tc>
          <w:tcPr>
            <w:tcW w:w="932" w:type="dxa"/>
            <w:shd w:val="clear" w:color="auto" w:fill="EAF1DD" w:themeFill="accent3" w:themeFillTint="33"/>
            <w:vAlign w:val="center"/>
          </w:tcPr>
          <w:p w:rsidR="0071656D" w:rsidRPr="00F82113" w:rsidRDefault="0071656D" w:rsidP="00D649D7">
            <w:pPr>
              <w:rPr>
                <w:b/>
                <w:sz w:val="18"/>
                <w:szCs w:val="18"/>
              </w:rPr>
            </w:pPr>
            <w:proofErr w:type="spellStart"/>
            <w:r w:rsidRPr="00F82113">
              <w:rPr>
                <w:b/>
                <w:sz w:val="18"/>
                <w:szCs w:val="18"/>
              </w:rPr>
              <w:t>Отклон</w:t>
            </w:r>
            <w:r w:rsidR="00D649D7" w:rsidRPr="00F82113">
              <w:rPr>
                <w:b/>
                <w:sz w:val="18"/>
                <w:szCs w:val="18"/>
              </w:rPr>
              <w:t>-</w:t>
            </w:r>
            <w:r w:rsidRPr="00F82113">
              <w:rPr>
                <w:b/>
                <w:sz w:val="18"/>
                <w:szCs w:val="18"/>
              </w:rPr>
              <w:t>е</w:t>
            </w:r>
            <w:proofErr w:type="spellEnd"/>
          </w:p>
        </w:tc>
      </w:tr>
      <w:tr w:rsidR="0071656D" w:rsidRPr="004E7DAD" w:rsidTr="00F77332">
        <w:trPr>
          <w:trHeight w:val="20"/>
          <w:jc w:val="center"/>
        </w:trPr>
        <w:tc>
          <w:tcPr>
            <w:tcW w:w="9521" w:type="dxa"/>
            <w:gridSpan w:val="5"/>
            <w:shd w:val="clear" w:color="auto" w:fill="auto"/>
            <w:vAlign w:val="center"/>
            <w:hideMark/>
          </w:tcPr>
          <w:p w:rsidR="0071656D" w:rsidRPr="00CD6B11" w:rsidRDefault="0071656D" w:rsidP="00F77332">
            <w:pPr>
              <w:ind w:firstLine="680"/>
              <w:rPr>
                <w:sz w:val="18"/>
                <w:szCs w:val="18"/>
              </w:rPr>
            </w:pPr>
            <w:r w:rsidRPr="00CD6B11">
              <w:rPr>
                <w:b/>
                <w:i/>
                <w:sz w:val="18"/>
                <w:szCs w:val="18"/>
              </w:rPr>
              <w:t>Снижение по отношению к показателю 2012 г:</w:t>
            </w:r>
          </w:p>
        </w:tc>
      </w:tr>
      <w:tr w:rsidR="0071656D" w:rsidRPr="004E7DAD" w:rsidTr="00F77332">
        <w:trPr>
          <w:trHeight w:val="20"/>
          <w:jc w:val="center"/>
        </w:trPr>
        <w:tc>
          <w:tcPr>
            <w:tcW w:w="5612" w:type="dxa"/>
            <w:shd w:val="clear" w:color="auto" w:fill="auto"/>
            <w:vAlign w:val="center"/>
            <w:hideMark/>
          </w:tcPr>
          <w:p w:rsidR="0071656D" w:rsidRPr="00CD6B11" w:rsidRDefault="0071656D" w:rsidP="00F77332">
            <w:pPr>
              <w:rPr>
                <w:sz w:val="18"/>
                <w:szCs w:val="18"/>
              </w:rPr>
            </w:pPr>
            <w:r w:rsidRPr="00CD6B11">
              <w:rPr>
                <w:sz w:val="18"/>
                <w:szCs w:val="18"/>
              </w:rPr>
              <w:t>количества зарегистрированных пожаров</w:t>
            </w:r>
          </w:p>
        </w:tc>
        <w:tc>
          <w:tcPr>
            <w:tcW w:w="993" w:type="dxa"/>
            <w:shd w:val="clear" w:color="auto" w:fill="auto"/>
            <w:vAlign w:val="center"/>
            <w:hideMark/>
          </w:tcPr>
          <w:p w:rsidR="0071656D" w:rsidRPr="00CD6B11" w:rsidRDefault="0071656D" w:rsidP="00F77332">
            <w:pPr>
              <w:rPr>
                <w:sz w:val="18"/>
                <w:szCs w:val="18"/>
              </w:rPr>
            </w:pPr>
            <w:r w:rsidRPr="00CD6B11">
              <w:rPr>
                <w:sz w:val="18"/>
                <w:szCs w:val="18"/>
              </w:rPr>
              <w:t>ед./ %</w:t>
            </w:r>
          </w:p>
        </w:tc>
        <w:tc>
          <w:tcPr>
            <w:tcW w:w="992" w:type="dxa"/>
            <w:vAlign w:val="center"/>
          </w:tcPr>
          <w:p w:rsidR="0071656D" w:rsidRPr="00CD6B11" w:rsidRDefault="0071656D" w:rsidP="00F77332">
            <w:pPr>
              <w:pStyle w:val="af8"/>
              <w:rPr>
                <w:rFonts w:ascii="Times New Roman" w:hAnsi="Times New Roman"/>
                <w:sz w:val="18"/>
                <w:szCs w:val="18"/>
              </w:rPr>
            </w:pPr>
            <w:r w:rsidRPr="00CD6B11">
              <w:rPr>
                <w:rFonts w:ascii="Times New Roman" w:hAnsi="Times New Roman"/>
                <w:sz w:val="18"/>
                <w:szCs w:val="18"/>
              </w:rPr>
              <w:t>3080/3,0</w:t>
            </w:r>
          </w:p>
        </w:tc>
        <w:tc>
          <w:tcPr>
            <w:tcW w:w="992" w:type="dxa"/>
            <w:vAlign w:val="center"/>
          </w:tcPr>
          <w:p w:rsidR="0071656D" w:rsidRPr="00CD6B11" w:rsidRDefault="0071656D" w:rsidP="00F77332">
            <w:pPr>
              <w:rPr>
                <w:sz w:val="18"/>
                <w:szCs w:val="18"/>
              </w:rPr>
            </w:pPr>
            <w:r w:rsidRPr="00CD6B11">
              <w:rPr>
                <w:sz w:val="18"/>
                <w:szCs w:val="18"/>
              </w:rPr>
              <w:t>2900/8,7</w:t>
            </w:r>
          </w:p>
        </w:tc>
        <w:tc>
          <w:tcPr>
            <w:tcW w:w="932" w:type="dxa"/>
            <w:vAlign w:val="center"/>
          </w:tcPr>
          <w:p w:rsidR="0071656D" w:rsidRPr="00CD6B11" w:rsidRDefault="0071656D" w:rsidP="00F77332">
            <w:pPr>
              <w:rPr>
                <w:sz w:val="18"/>
                <w:szCs w:val="18"/>
              </w:rPr>
            </w:pPr>
            <w:r w:rsidRPr="00CD6B11">
              <w:rPr>
                <w:sz w:val="18"/>
                <w:szCs w:val="18"/>
              </w:rPr>
              <w:t>-180/-5,7</w:t>
            </w:r>
          </w:p>
        </w:tc>
      </w:tr>
      <w:tr w:rsidR="0071656D" w:rsidRPr="004E7DAD" w:rsidTr="00F77332">
        <w:trPr>
          <w:trHeight w:val="20"/>
          <w:jc w:val="center"/>
        </w:trPr>
        <w:tc>
          <w:tcPr>
            <w:tcW w:w="5612" w:type="dxa"/>
            <w:shd w:val="clear" w:color="auto" w:fill="auto"/>
            <w:vAlign w:val="center"/>
            <w:hideMark/>
          </w:tcPr>
          <w:p w:rsidR="0071656D" w:rsidRPr="00CD6B11" w:rsidRDefault="0071656D" w:rsidP="00F77332">
            <w:pPr>
              <w:rPr>
                <w:sz w:val="18"/>
                <w:szCs w:val="18"/>
              </w:rPr>
            </w:pPr>
            <w:r w:rsidRPr="00CD6B11">
              <w:rPr>
                <w:sz w:val="18"/>
                <w:szCs w:val="18"/>
              </w:rPr>
              <w:t>количества погибших при пожарах людей</w:t>
            </w:r>
          </w:p>
        </w:tc>
        <w:tc>
          <w:tcPr>
            <w:tcW w:w="993" w:type="dxa"/>
            <w:shd w:val="clear" w:color="auto" w:fill="auto"/>
            <w:vAlign w:val="center"/>
            <w:hideMark/>
          </w:tcPr>
          <w:p w:rsidR="0071656D" w:rsidRPr="00CD6B11" w:rsidRDefault="0071656D" w:rsidP="00F77332">
            <w:pPr>
              <w:rPr>
                <w:sz w:val="18"/>
                <w:szCs w:val="18"/>
              </w:rPr>
            </w:pPr>
            <w:r w:rsidRPr="00CD6B11">
              <w:rPr>
                <w:sz w:val="18"/>
                <w:szCs w:val="18"/>
              </w:rPr>
              <w:t>чел./ %</w:t>
            </w:r>
          </w:p>
        </w:tc>
        <w:tc>
          <w:tcPr>
            <w:tcW w:w="992" w:type="dxa"/>
            <w:vAlign w:val="center"/>
          </w:tcPr>
          <w:p w:rsidR="0071656D" w:rsidRPr="00CD6B11" w:rsidRDefault="0071656D" w:rsidP="00F77332">
            <w:pPr>
              <w:pStyle w:val="af8"/>
              <w:rPr>
                <w:rFonts w:ascii="Times New Roman" w:hAnsi="Times New Roman"/>
                <w:sz w:val="18"/>
                <w:szCs w:val="18"/>
              </w:rPr>
            </w:pPr>
            <w:r w:rsidRPr="00CD6B11">
              <w:rPr>
                <w:rFonts w:ascii="Times New Roman" w:hAnsi="Times New Roman"/>
                <w:sz w:val="18"/>
                <w:szCs w:val="18"/>
              </w:rPr>
              <w:t>241/3,0</w:t>
            </w:r>
          </w:p>
        </w:tc>
        <w:tc>
          <w:tcPr>
            <w:tcW w:w="992" w:type="dxa"/>
            <w:vAlign w:val="center"/>
          </w:tcPr>
          <w:p w:rsidR="0071656D" w:rsidRPr="00CD6B11" w:rsidRDefault="0071656D" w:rsidP="00F77332">
            <w:pPr>
              <w:rPr>
                <w:sz w:val="18"/>
                <w:szCs w:val="18"/>
              </w:rPr>
            </w:pPr>
            <w:r w:rsidRPr="00CD6B11">
              <w:rPr>
                <w:sz w:val="18"/>
                <w:szCs w:val="18"/>
              </w:rPr>
              <w:t>179/28,1</w:t>
            </w:r>
          </w:p>
        </w:tc>
        <w:tc>
          <w:tcPr>
            <w:tcW w:w="932" w:type="dxa"/>
            <w:vAlign w:val="center"/>
          </w:tcPr>
          <w:p w:rsidR="0071656D" w:rsidRPr="00CD6B11" w:rsidRDefault="0071656D" w:rsidP="00F77332">
            <w:pPr>
              <w:rPr>
                <w:sz w:val="18"/>
                <w:szCs w:val="18"/>
              </w:rPr>
            </w:pPr>
            <w:r w:rsidRPr="00CD6B11">
              <w:rPr>
                <w:sz w:val="18"/>
                <w:szCs w:val="18"/>
              </w:rPr>
              <w:t>-62/-25,1</w:t>
            </w:r>
          </w:p>
        </w:tc>
      </w:tr>
      <w:tr w:rsidR="0071656D" w:rsidRPr="004E7DAD" w:rsidTr="00F77332">
        <w:trPr>
          <w:trHeight w:val="20"/>
          <w:jc w:val="center"/>
        </w:trPr>
        <w:tc>
          <w:tcPr>
            <w:tcW w:w="5612" w:type="dxa"/>
            <w:shd w:val="clear" w:color="auto" w:fill="auto"/>
            <w:vAlign w:val="center"/>
            <w:hideMark/>
          </w:tcPr>
          <w:p w:rsidR="0071656D" w:rsidRPr="00CD6B11" w:rsidRDefault="0071656D" w:rsidP="00F77332">
            <w:pPr>
              <w:rPr>
                <w:sz w:val="18"/>
                <w:szCs w:val="18"/>
              </w:rPr>
            </w:pPr>
            <w:r w:rsidRPr="00CD6B11">
              <w:rPr>
                <w:sz w:val="18"/>
                <w:szCs w:val="18"/>
              </w:rPr>
              <w:t>количества населения, получившего травмы</w:t>
            </w:r>
          </w:p>
        </w:tc>
        <w:tc>
          <w:tcPr>
            <w:tcW w:w="993" w:type="dxa"/>
            <w:shd w:val="clear" w:color="auto" w:fill="auto"/>
            <w:vAlign w:val="center"/>
            <w:hideMark/>
          </w:tcPr>
          <w:p w:rsidR="0071656D" w:rsidRPr="00CD6B11" w:rsidRDefault="0071656D" w:rsidP="00F77332">
            <w:pPr>
              <w:rPr>
                <w:sz w:val="18"/>
                <w:szCs w:val="18"/>
              </w:rPr>
            </w:pPr>
            <w:r w:rsidRPr="00CD6B11">
              <w:rPr>
                <w:sz w:val="18"/>
                <w:szCs w:val="18"/>
              </w:rPr>
              <w:t>чел./ %</w:t>
            </w:r>
          </w:p>
        </w:tc>
        <w:tc>
          <w:tcPr>
            <w:tcW w:w="992" w:type="dxa"/>
            <w:vAlign w:val="center"/>
          </w:tcPr>
          <w:p w:rsidR="0071656D" w:rsidRPr="00CD6B11" w:rsidRDefault="0071656D" w:rsidP="00F77332">
            <w:pPr>
              <w:pStyle w:val="af8"/>
              <w:rPr>
                <w:rFonts w:ascii="Times New Roman" w:hAnsi="Times New Roman"/>
                <w:sz w:val="18"/>
                <w:szCs w:val="18"/>
              </w:rPr>
            </w:pPr>
            <w:r w:rsidRPr="00CD6B11">
              <w:rPr>
                <w:rFonts w:ascii="Times New Roman" w:hAnsi="Times New Roman"/>
                <w:sz w:val="18"/>
                <w:szCs w:val="18"/>
              </w:rPr>
              <w:t>211/3,0</w:t>
            </w:r>
          </w:p>
        </w:tc>
        <w:tc>
          <w:tcPr>
            <w:tcW w:w="992" w:type="dxa"/>
            <w:vAlign w:val="center"/>
          </w:tcPr>
          <w:p w:rsidR="0071656D" w:rsidRPr="00CD6B11" w:rsidRDefault="0071656D" w:rsidP="00F77332">
            <w:pPr>
              <w:rPr>
                <w:sz w:val="18"/>
                <w:szCs w:val="18"/>
              </w:rPr>
            </w:pPr>
            <w:r w:rsidRPr="00CD6B11">
              <w:rPr>
                <w:sz w:val="18"/>
                <w:szCs w:val="18"/>
              </w:rPr>
              <w:t>214/1,8</w:t>
            </w:r>
          </w:p>
        </w:tc>
        <w:tc>
          <w:tcPr>
            <w:tcW w:w="932" w:type="dxa"/>
            <w:vAlign w:val="center"/>
          </w:tcPr>
          <w:p w:rsidR="0071656D" w:rsidRPr="00CD6B11" w:rsidRDefault="0071656D" w:rsidP="00F77332">
            <w:pPr>
              <w:rPr>
                <w:sz w:val="18"/>
                <w:szCs w:val="18"/>
              </w:rPr>
            </w:pPr>
            <w:r w:rsidRPr="00CD6B11">
              <w:rPr>
                <w:sz w:val="18"/>
                <w:szCs w:val="18"/>
              </w:rPr>
              <w:t>+3/+1,2</w:t>
            </w:r>
          </w:p>
        </w:tc>
      </w:tr>
      <w:tr w:rsidR="0071656D" w:rsidRPr="004E7DAD" w:rsidTr="00F77332">
        <w:trPr>
          <w:trHeight w:val="20"/>
          <w:jc w:val="center"/>
        </w:trPr>
        <w:tc>
          <w:tcPr>
            <w:tcW w:w="5612" w:type="dxa"/>
            <w:shd w:val="clear" w:color="auto" w:fill="auto"/>
            <w:vAlign w:val="center"/>
            <w:hideMark/>
          </w:tcPr>
          <w:p w:rsidR="0071656D" w:rsidRPr="00CD6B11" w:rsidRDefault="0071656D" w:rsidP="00F77332">
            <w:pPr>
              <w:rPr>
                <w:sz w:val="18"/>
                <w:szCs w:val="18"/>
              </w:rPr>
            </w:pPr>
            <w:r w:rsidRPr="00CD6B11">
              <w:rPr>
                <w:sz w:val="18"/>
                <w:szCs w:val="18"/>
              </w:rPr>
              <w:t>сокращение экономического ущерба от ЧС и происшествий на территории Волгоградской области</w:t>
            </w:r>
          </w:p>
        </w:tc>
        <w:tc>
          <w:tcPr>
            <w:tcW w:w="993" w:type="dxa"/>
            <w:shd w:val="clear" w:color="auto" w:fill="auto"/>
            <w:vAlign w:val="center"/>
            <w:hideMark/>
          </w:tcPr>
          <w:p w:rsidR="0071656D" w:rsidRPr="00CD6B11" w:rsidRDefault="004B13A8" w:rsidP="004B13A8">
            <w:pPr>
              <w:rPr>
                <w:sz w:val="18"/>
                <w:szCs w:val="18"/>
              </w:rPr>
            </w:pPr>
            <w:r>
              <w:rPr>
                <w:sz w:val="18"/>
                <w:szCs w:val="18"/>
              </w:rPr>
              <w:t>тыс.</w:t>
            </w:r>
            <w:r w:rsidR="0071656D" w:rsidRPr="00CD6B11">
              <w:rPr>
                <w:sz w:val="18"/>
                <w:szCs w:val="18"/>
              </w:rPr>
              <w:t xml:space="preserve"> руб.</w:t>
            </w:r>
          </w:p>
        </w:tc>
        <w:tc>
          <w:tcPr>
            <w:tcW w:w="992" w:type="dxa"/>
            <w:vAlign w:val="center"/>
          </w:tcPr>
          <w:p w:rsidR="0071656D" w:rsidRPr="00CD6B11" w:rsidRDefault="0071656D" w:rsidP="00F77332">
            <w:pPr>
              <w:pStyle w:val="af8"/>
              <w:rPr>
                <w:rFonts w:ascii="Times New Roman" w:hAnsi="Times New Roman"/>
                <w:sz w:val="18"/>
                <w:szCs w:val="18"/>
              </w:rPr>
            </w:pPr>
            <w:r w:rsidRPr="00CD6B11">
              <w:rPr>
                <w:rFonts w:ascii="Times New Roman" w:hAnsi="Times New Roman"/>
                <w:sz w:val="18"/>
                <w:szCs w:val="18"/>
              </w:rPr>
              <w:t>323400,0</w:t>
            </w:r>
          </w:p>
        </w:tc>
        <w:tc>
          <w:tcPr>
            <w:tcW w:w="992" w:type="dxa"/>
            <w:vAlign w:val="center"/>
          </w:tcPr>
          <w:p w:rsidR="0071656D" w:rsidRPr="00CD6B11" w:rsidRDefault="0071656D" w:rsidP="00F77332">
            <w:pPr>
              <w:rPr>
                <w:sz w:val="18"/>
                <w:szCs w:val="18"/>
              </w:rPr>
            </w:pPr>
            <w:r w:rsidRPr="00CD6B11">
              <w:rPr>
                <w:sz w:val="18"/>
                <w:szCs w:val="18"/>
              </w:rPr>
              <w:t>66963,0</w:t>
            </w:r>
          </w:p>
        </w:tc>
        <w:tc>
          <w:tcPr>
            <w:tcW w:w="932" w:type="dxa"/>
            <w:vAlign w:val="center"/>
          </w:tcPr>
          <w:p w:rsidR="0071656D" w:rsidRPr="00CD6B11" w:rsidRDefault="0071656D" w:rsidP="00F77332">
            <w:pPr>
              <w:rPr>
                <w:sz w:val="18"/>
                <w:szCs w:val="18"/>
              </w:rPr>
            </w:pPr>
            <w:r w:rsidRPr="00CD6B11">
              <w:rPr>
                <w:sz w:val="18"/>
                <w:szCs w:val="18"/>
              </w:rPr>
              <w:t>- 256437,0</w:t>
            </w:r>
          </w:p>
        </w:tc>
      </w:tr>
      <w:tr w:rsidR="0071656D" w:rsidRPr="004E7DAD" w:rsidTr="00F77332">
        <w:trPr>
          <w:trHeight w:val="20"/>
          <w:jc w:val="center"/>
        </w:trPr>
        <w:tc>
          <w:tcPr>
            <w:tcW w:w="5612" w:type="dxa"/>
            <w:shd w:val="clear" w:color="auto" w:fill="auto"/>
            <w:vAlign w:val="center"/>
            <w:hideMark/>
          </w:tcPr>
          <w:p w:rsidR="0071656D" w:rsidRPr="00CD6B11" w:rsidRDefault="0071656D" w:rsidP="00F77332">
            <w:pPr>
              <w:rPr>
                <w:sz w:val="18"/>
                <w:szCs w:val="18"/>
              </w:rPr>
            </w:pPr>
            <w:r w:rsidRPr="00CD6B11">
              <w:rPr>
                <w:sz w:val="18"/>
                <w:szCs w:val="18"/>
              </w:rPr>
              <w:t>снижение количества погибших на водных объектах</w:t>
            </w:r>
          </w:p>
        </w:tc>
        <w:tc>
          <w:tcPr>
            <w:tcW w:w="993" w:type="dxa"/>
            <w:shd w:val="clear" w:color="auto" w:fill="auto"/>
            <w:vAlign w:val="center"/>
            <w:hideMark/>
          </w:tcPr>
          <w:p w:rsidR="0071656D" w:rsidRPr="00CD6B11" w:rsidRDefault="0071656D" w:rsidP="00F77332">
            <w:pPr>
              <w:rPr>
                <w:sz w:val="18"/>
                <w:szCs w:val="18"/>
              </w:rPr>
            </w:pPr>
            <w:r w:rsidRPr="00CD6B11">
              <w:rPr>
                <w:sz w:val="18"/>
                <w:szCs w:val="18"/>
              </w:rPr>
              <w:t>чел./ %</w:t>
            </w:r>
          </w:p>
        </w:tc>
        <w:tc>
          <w:tcPr>
            <w:tcW w:w="992" w:type="dxa"/>
            <w:vAlign w:val="center"/>
          </w:tcPr>
          <w:p w:rsidR="0071656D" w:rsidRPr="00CD6B11" w:rsidRDefault="0071656D" w:rsidP="00F77332">
            <w:pPr>
              <w:pStyle w:val="af8"/>
              <w:rPr>
                <w:rFonts w:ascii="Times New Roman" w:hAnsi="Times New Roman"/>
                <w:sz w:val="18"/>
                <w:szCs w:val="18"/>
              </w:rPr>
            </w:pPr>
            <w:r w:rsidRPr="00CD6B11">
              <w:rPr>
                <w:rFonts w:ascii="Times New Roman" w:hAnsi="Times New Roman"/>
                <w:sz w:val="18"/>
                <w:szCs w:val="18"/>
              </w:rPr>
              <w:t>137/2,2</w:t>
            </w:r>
          </w:p>
        </w:tc>
        <w:tc>
          <w:tcPr>
            <w:tcW w:w="992" w:type="dxa"/>
            <w:vAlign w:val="center"/>
          </w:tcPr>
          <w:p w:rsidR="0071656D" w:rsidRPr="00CD6B11" w:rsidRDefault="0071656D" w:rsidP="00F77332">
            <w:pPr>
              <w:rPr>
                <w:sz w:val="18"/>
                <w:szCs w:val="18"/>
              </w:rPr>
            </w:pPr>
            <w:r w:rsidRPr="00CD6B11">
              <w:rPr>
                <w:sz w:val="18"/>
                <w:szCs w:val="18"/>
              </w:rPr>
              <w:t>127/9,3</w:t>
            </w:r>
          </w:p>
        </w:tc>
        <w:tc>
          <w:tcPr>
            <w:tcW w:w="932" w:type="dxa"/>
            <w:vAlign w:val="center"/>
          </w:tcPr>
          <w:p w:rsidR="0071656D" w:rsidRPr="00CD6B11" w:rsidRDefault="0071656D" w:rsidP="00F77332">
            <w:pPr>
              <w:rPr>
                <w:sz w:val="18"/>
                <w:szCs w:val="18"/>
              </w:rPr>
            </w:pPr>
            <w:r w:rsidRPr="00CD6B11">
              <w:rPr>
                <w:sz w:val="18"/>
                <w:szCs w:val="18"/>
              </w:rPr>
              <w:t>-10/-7,1</w:t>
            </w:r>
          </w:p>
        </w:tc>
      </w:tr>
    </w:tbl>
    <w:p w:rsidR="0071656D" w:rsidRDefault="0071656D" w:rsidP="0071656D">
      <w:pPr>
        <w:ind w:firstLine="680"/>
        <w:jc w:val="both"/>
        <w:rPr>
          <w:bCs/>
        </w:rPr>
      </w:pPr>
      <w:r w:rsidRPr="004E7DAD">
        <w:rPr>
          <w:bCs/>
        </w:rPr>
        <w:t>Как видно из таблицы, из 5-ти целевых показателей по 4-м плановые назначения перевыполнены.</w:t>
      </w:r>
    </w:p>
    <w:p w:rsidR="002A4288" w:rsidRPr="00DB7FA9" w:rsidRDefault="002A4288" w:rsidP="00DB7FA9">
      <w:pPr>
        <w:ind w:firstLine="680"/>
        <w:jc w:val="both"/>
        <w:rPr>
          <w:bCs/>
        </w:rPr>
      </w:pPr>
      <w:r>
        <w:rPr>
          <w:bCs/>
        </w:rPr>
        <w:t xml:space="preserve">Подпрограммами предусмотрено 23 </w:t>
      </w:r>
      <w:r w:rsidR="00DB7FA9">
        <w:rPr>
          <w:bCs/>
        </w:rPr>
        <w:t xml:space="preserve">целевых </w:t>
      </w:r>
      <w:r>
        <w:rPr>
          <w:bCs/>
        </w:rPr>
        <w:t>показателя</w:t>
      </w:r>
      <w:r w:rsidR="00DB7FA9">
        <w:rPr>
          <w:bCs/>
        </w:rPr>
        <w:t xml:space="preserve">, из которых </w:t>
      </w:r>
      <w:r w:rsidRPr="004E7DAD">
        <w:t xml:space="preserve">ожидаемый </w:t>
      </w:r>
      <w:proofErr w:type="gramStart"/>
      <w:r w:rsidRPr="004E7DAD">
        <w:t>результат</w:t>
      </w:r>
      <w:proofErr w:type="gramEnd"/>
      <w:r w:rsidRPr="004E7DAD">
        <w:t xml:space="preserve"> не достигнут по 8-ми показателям, в т.ч.:</w:t>
      </w:r>
    </w:p>
    <w:p w:rsidR="002A4288" w:rsidRPr="004E7DAD" w:rsidRDefault="002A4288" w:rsidP="002A4288">
      <w:pPr>
        <w:ind w:firstLine="680"/>
        <w:jc w:val="both"/>
      </w:pPr>
      <w:r w:rsidRPr="004E7DAD">
        <w:t>-</w:t>
      </w:r>
      <w:r>
        <w:t xml:space="preserve"> по 4-м показателям</w:t>
      </w:r>
      <w:r w:rsidRPr="004E7DAD">
        <w:t xml:space="preserve"> в связи с отсутствием бюджетных ассигнований на</w:t>
      </w:r>
      <w:r>
        <w:t xml:space="preserve"> </w:t>
      </w:r>
      <w:r w:rsidRPr="004E7DAD">
        <w:t xml:space="preserve"> мероприятия, соответствующие этим показателям;</w:t>
      </w:r>
    </w:p>
    <w:p w:rsidR="002A4288" w:rsidRDefault="002A4288" w:rsidP="002A4288">
      <w:pPr>
        <w:ind w:firstLine="680"/>
        <w:jc w:val="both"/>
      </w:pPr>
      <w:r w:rsidRPr="004E7DAD">
        <w:t>-</w:t>
      </w:r>
      <w:r>
        <w:t xml:space="preserve"> </w:t>
      </w:r>
      <w:r w:rsidRPr="004E7DAD">
        <w:t>по 3-м показателям, характеризующим эффект от развернутой «Системы 112», значения по итогам 2015 года определ</w:t>
      </w:r>
      <w:r>
        <w:t>ить не представляется возможным</w:t>
      </w:r>
      <w:r w:rsidRPr="004E7DAD">
        <w:t xml:space="preserve"> в связи с тем, что </w:t>
      </w:r>
      <w:r w:rsidRPr="004E7DAD">
        <w:lastRenderedPageBreak/>
        <w:t>оснащение помещений основного центра обработки вызовов произведено 26.12.2015</w:t>
      </w:r>
      <w:r w:rsidRPr="00F87FA0">
        <w:t xml:space="preserve"> </w:t>
      </w:r>
      <w:r>
        <w:t>(з</w:t>
      </w:r>
      <w:r w:rsidRPr="00F87FA0">
        <w:t>начения показател</w:t>
      </w:r>
      <w:r>
        <w:t>ей</w:t>
      </w:r>
      <w:r w:rsidRPr="00F87FA0">
        <w:t xml:space="preserve"> предусмотрены через год</w:t>
      </w:r>
      <w:r>
        <w:t xml:space="preserve"> после начала действия Системы «</w:t>
      </w:r>
      <w:r w:rsidRPr="00F87FA0">
        <w:t>112</w:t>
      </w:r>
      <w:r>
        <w:t>»);</w:t>
      </w:r>
    </w:p>
    <w:p w:rsidR="002A4288" w:rsidRDefault="002A4288" w:rsidP="002A4288">
      <w:pPr>
        <w:ind w:firstLine="680"/>
        <w:jc w:val="both"/>
      </w:pPr>
      <w:r>
        <w:t xml:space="preserve">- по </w:t>
      </w:r>
      <w:r w:rsidRPr="00F87FA0">
        <w:t>показател</w:t>
      </w:r>
      <w:r>
        <w:t>ю</w:t>
      </w:r>
      <w:r w:rsidRPr="00F87FA0">
        <w:t xml:space="preserve"> «Количество населения, получившего травмы»</w:t>
      </w:r>
      <w:r>
        <w:t>, характеризующему травматизм при пожарах.</w:t>
      </w:r>
    </w:p>
    <w:p w:rsidR="00F77332" w:rsidRDefault="00F77332" w:rsidP="0071656D">
      <w:pPr>
        <w:ind w:firstLine="680"/>
        <w:jc w:val="both"/>
      </w:pPr>
      <w:r>
        <w:t xml:space="preserve">Общий объем финансирования Госпрограммы на 2015 год предусмотрен в размере 530 895,7 тыс. руб.,  в т.ч. за счет </w:t>
      </w:r>
      <w:r w:rsidR="00CF325D">
        <w:t xml:space="preserve">средств </w:t>
      </w:r>
      <w:r>
        <w:t xml:space="preserve">федерального бюджета – 22 090,3 тыс. руб., </w:t>
      </w:r>
      <w:r w:rsidR="00CF325D">
        <w:t xml:space="preserve">областного бюджета – 508 566,7 тыс. руб., </w:t>
      </w:r>
      <w:r>
        <w:t>местных бюджетов – 238,7 тыс. рублей.</w:t>
      </w:r>
    </w:p>
    <w:p w:rsidR="0071656D" w:rsidRPr="0076691D" w:rsidRDefault="0071656D" w:rsidP="00BB1BC7">
      <w:pPr>
        <w:ind w:firstLine="680"/>
        <w:jc w:val="both"/>
      </w:pPr>
      <w:r w:rsidRPr="004E7DAD">
        <w:t xml:space="preserve">Законом об областном бюджете Комитету на </w:t>
      </w:r>
      <w:r w:rsidRPr="0075109B">
        <w:t>реализацию Госпрограммы утверждены бюджетные ассигнования в сумме 508</w:t>
      </w:r>
      <w:r w:rsidRPr="0075109B">
        <w:rPr>
          <w:lang w:val="en-US"/>
        </w:rPr>
        <w:t> </w:t>
      </w:r>
      <w:r w:rsidRPr="0075109B">
        <w:t xml:space="preserve">566,7 тыс. рублей. </w:t>
      </w:r>
      <w:proofErr w:type="gramStart"/>
      <w:r w:rsidR="0058465B" w:rsidRPr="0075109B">
        <w:t xml:space="preserve">Средства федерального бюджета в Законе об областном бюджете не предусмотрены, так как они поступили в размере 22 090,3 тыс. </w:t>
      </w:r>
      <w:proofErr w:type="spellStart"/>
      <w:r w:rsidR="0058465B" w:rsidRPr="0075109B">
        <w:t>руб</w:t>
      </w:r>
      <w:proofErr w:type="spellEnd"/>
      <w:r w:rsidR="0058465B" w:rsidRPr="0075109B">
        <w:t xml:space="preserve"> в сентябре 2015 года после внесения изменений в Закон об областном бюджете</w:t>
      </w:r>
      <w:r w:rsidRPr="0075109B">
        <w:t xml:space="preserve"> на основании распоряжения Правительства РФ от 15.08.2015 №</w:t>
      </w:r>
      <w:r w:rsidRPr="004E7DAD">
        <w:t xml:space="preserve"> 1577-р «О распределении субсидий, предоставляемых в 2015 году из федерального бюджета бюджетам субъектов Российской Федерации на реализацию мероприятий федеральной целевой программы</w:t>
      </w:r>
      <w:proofErr w:type="gramEnd"/>
      <w:r w:rsidRPr="004E7DAD">
        <w:t xml:space="preserve"> «Создание системы обеспечения вызова экстренных оперативных служб по единому номеру «112» в Российской Федерации на 2013 - 2017 годы»</w:t>
      </w:r>
      <w:r w:rsidR="00EB01A5">
        <w:t xml:space="preserve"> (главный администратор указанных </w:t>
      </w:r>
      <w:r w:rsidR="00EB01A5" w:rsidRPr="0076691D">
        <w:t xml:space="preserve">средств </w:t>
      </w:r>
      <w:r w:rsidR="0075109B" w:rsidRPr="0076691D">
        <w:t>-</w:t>
      </w:r>
      <w:r w:rsidR="00EB01A5" w:rsidRPr="0076691D">
        <w:t xml:space="preserve"> комитет информационных технологий Волгоградской области)</w:t>
      </w:r>
      <w:r w:rsidR="0058465B" w:rsidRPr="0076691D">
        <w:t>.</w:t>
      </w:r>
    </w:p>
    <w:p w:rsidR="0071656D" w:rsidRPr="0076691D" w:rsidRDefault="0071656D" w:rsidP="0071656D">
      <w:pPr>
        <w:ind w:firstLine="680"/>
        <w:jc w:val="both"/>
      </w:pPr>
      <w:proofErr w:type="gramStart"/>
      <w:r w:rsidRPr="0076691D">
        <w:t xml:space="preserve">Фактическое исполнение </w:t>
      </w:r>
      <w:r w:rsidR="0058465B" w:rsidRPr="0076691D">
        <w:t>Госпрограммы</w:t>
      </w:r>
      <w:r w:rsidR="00341640">
        <w:t xml:space="preserve"> </w:t>
      </w:r>
      <w:r w:rsidR="00BB1BC7" w:rsidRPr="0076691D">
        <w:t xml:space="preserve">за счет всех источников финансирования </w:t>
      </w:r>
      <w:r w:rsidR="0058465B" w:rsidRPr="0076691D">
        <w:t xml:space="preserve"> </w:t>
      </w:r>
      <w:r w:rsidRPr="0076691D">
        <w:t>составило 48</w:t>
      </w:r>
      <w:r w:rsidR="00BB1BC7" w:rsidRPr="0076691D">
        <w:t>1</w:t>
      </w:r>
      <w:r w:rsidR="00C8789F" w:rsidRPr="0076691D">
        <w:t> </w:t>
      </w:r>
      <w:r w:rsidR="00BB1BC7" w:rsidRPr="0076691D">
        <w:t>0</w:t>
      </w:r>
      <w:r w:rsidR="00C8789F" w:rsidRPr="0076691D">
        <w:t>29,6</w:t>
      </w:r>
      <w:r w:rsidR="00BB1BC7" w:rsidRPr="0076691D">
        <w:t xml:space="preserve"> </w:t>
      </w:r>
      <w:r w:rsidRPr="0076691D">
        <w:t xml:space="preserve">тыс. руб., или 90,6% от </w:t>
      </w:r>
      <w:r w:rsidR="00AB3150" w:rsidRPr="0076691D">
        <w:t>планового объема финансирования</w:t>
      </w:r>
      <w:r w:rsidR="00BB1BC7" w:rsidRPr="0076691D">
        <w:t xml:space="preserve">, </w:t>
      </w:r>
      <w:r w:rsidR="00FB5EA2" w:rsidRPr="0076691D">
        <w:t>на что в основном повлияло недофинансирование заявок на оплату расходов</w:t>
      </w:r>
      <w:r w:rsidR="00C8789F" w:rsidRPr="0076691D">
        <w:t xml:space="preserve"> </w:t>
      </w:r>
      <w:r w:rsidR="00341640">
        <w:t>из</w:t>
      </w:r>
      <w:r w:rsidR="00C8789F" w:rsidRPr="0076691D">
        <w:t xml:space="preserve"> областного бюджета</w:t>
      </w:r>
      <w:r w:rsidR="00FB5EA2" w:rsidRPr="0076691D">
        <w:t xml:space="preserve"> (за счет </w:t>
      </w:r>
      <w:r w:rsidR="009A57C4" w:rsidRPr="0076691D">
        <w:t xml:space="preserve">средств областного бюджета </w:t>
      </w:r>
      <w:r w:rsidR="00C8789F" w:rsidRPr="0076691D">
        <w:t xml:space="preserve">исполнено </w:t>
      </w:r>
      <w:r w:rsidR="00AB3150" w:rsidRPr="0076691D">
        <w:t>458 809,6 тыс. руб., или 90,2%</w:t>
      </w:r>
      <w:r w:rsidR="00C8789F" w:rsidRPr="0076691D">
        <w:t>; за счет средств федерального бюджета - 22 016,6 тыс. руб., или 99,7%</w:t>
      </w:r>
      <w:r w:rsidR="00AB3150" w:rsidRPr="0076691D">
        <w:t>).</w:t>
      </w:r>
      <w:r w:rsidR="0058465B" w:rsidRPr="0076691D">
        <w:t xml:space="preserve"> </w:t>
      </w:r>
      <w:proofErr w:type="gramEnd"/>
    </w:p>
    <w:p w:rsidR="0071656D" w:rsidRDefault="0071656D" w:rsidP="0071656D">
      <w:pPr>
        <w:ind w:firstLine="680"/>
        <w:jc w:val="both"/>
      </w:pPr>
      <w:proofErr w:type="gramStart"/>
      <w:r w:rsidRPr="004E7DAD">
        <w:t xml:space="preserve">Несмотря на то, </w:t>
      </w:r>
      <w:r>
        <w:t xml:space="preserve">что </w:t>
      </w:r>
      <w:r w:rsidRPr="004E7DAD">
        <w:t xml:space="preserve">неисполнение </w:t>
      </w:r>
      <w:r w:rsidR="00E72D92">
        <w:t>плановых объемов ф</w:t>
      </w:r>
      <w:r w:rsidR="00C8789F">
        <w:t>инансирования  Госпрограммы</w:t>
      </w:r>
      <w:r w:rsidR="003D02FB">
        <w:t xml:space="preserve"> составило 49</w:t>
      </w:r>
      <w:r w:rsidR="00C8789F">
        <w:t> </w:t>
      </w:r>
      <w:r w:rsidR="003D02FB">
        <w:t>8</w:t>
      </w:r>
      <w:r w:rsidR="00E72D92">
        <w:t>6</w:t>
      </w:r>
      <w:r w:rsidR="00C8789F">
        <w:t>6,1</w:t>
      </w:r>
      <w:r w:rsidR="003D02FB">
        <w:t xml:space="preserve"> тыс. руб.</w:t>
      </w:r>
      <w:r w:rsidR="00103BFA">
        <w:t>, э</w:t>
      </w:r>
      <w:r w:rsidRPr="004E7DAD">
        <w:t xml:space="preserve">ффективность реализация Госпрограммы в </w:t>
      </w:r>
      <w:r w:rsidRPr="00EE6154">
        <w:t>Годовом докладе определена высокой (значение показателя эффективности составляет 90%), на что в основном, повлияло то обстоятельство, что достижение 5</w:t>
      </w:r>
      <w:r w:rsidR="00103BFA" w:rsidRPr="00EE6154">
        <w:t>-ти</w:t>
      </w:r>
      <w:r w:rsidRPr="00EE6154">
        <w:t xml:space="preserve"> целевых показателей Госпрограммы не зависит напрямую от объема ассигнований, предусмотренных на выполнение мероприятий Госпрограммы.</w:t>
      </w:r>
      <w:proofErr w:type="gramEnd"/>
    </w:p>
    <w:p w:rsidR="0071656D" w:rsidRDefault="0071656D" w:rsidP="0071656D">
      <w:pPr>
        <w:ind w:firstLine="680"/>
        <w:jc w:val="both"/>
      </w:pPr>
    </w:p>
    <w:p w:rsidR="0071656D" w:rsidRPr="004E7DAD" w:rsidRDefault="0071656D" w:rsidP="0071656D">
      <w:pPr>
        <w:ind w:firstLine="680"/>
        <w:jc w:val="center"/>
        <w:rPr>
          <w:b/>
          <w:i/>
        </w:rPr>
      </w:pPr>
      <w:r w:rsidRPr="004E7DAD">
        <w:rPr>
          <w:b/>
          <w:i/>
        </w:rPr>
        <w:t>Состояние внутреннего финансового контроля и</w:t>
      </w:r>
    </w:p>
    <w:p w:rsidR="0071656D" w:rsidRPr="004E7DAD" w:rsidRDefault="0071656D" w:rsidP="0071656D">
      <w:pPr>
        <w:ind w:firstLine="680"/>
        <w:jc w:val="center"/>
        <w:rPr>
          <w:b/>
          <w:i/>
        </w:rPr>
      </w:pPr>
      <w:r w:rsidRPr="004E7DAD">
        <w:rPr>
          <w:b/>
          <w:i/>
        </w:rPr>
        <w:t xml:space="preserve"> внутреннего финансового аудита</w:t>
      </w:r>
    </w:p>
    <w:p w:rsidR="00685A39" w:rsidRDefault="0071656D" w:rsidP="0071656D">
      <w:pPr>
        <w:ind w:firstLine="680"/>
        <w:jc w:val="both"/>
      </w:pPr>
      <w:proofErr w:type="gramStart"/>
      <w:r w:rsidRPr="004E7DAD">
        <w:t xml:space="preserve">В целях регламентации порядка осуществления внутреннего финансового </w:t>
      </w:r>
      <w:r w:rsidR="00E82501">
        <w:t xml:space="preserve">контроля и внутреннего финансового </w:t>
      </w:r>
      <w:r w:rsidRPr="004E7DAD">
        <w:t>аудита в Комитете издан приказ от 18.12.2014 № 306 «О некоторых мерах по реализации постановления Правительства Волгоградской области от 26 мая 2014 г. № 266-п «Об утверждении порядка осуществления внутреннего финансового контроля и внутреннего финансового аудита на территории Волгоградской области» (далее – П</w:t>
      </w:r>
      <w:r w:rsidR="003B6C51">
        <w:t>орядок № 266-п)</w:t>
      </w:r>
      <w:r w:rsidR="00E82501">
        <w:t xml:space="preserve">, которым утверждены </w:t>
      </w:r>
      <w:r w:rsidR="00685A39">
        <w:t>различные порядки осуществления финансового контроля и</w:t>
      </w:r>
      <w:proofErr w:type="gramEnd"/>
      <w:r w:rsidR="00685A39">
        <w:t xml:space="preserve"> аудита.</w:t>
      </w:r>
    </w:p>
    <w:p w:rsidR="00D3631D" w:rsidRDefault="003A40A2" w:rsidP="003A40A2">
      <w:pPr>
        <w:ind w:firstLine="680"/>
        <w:jc w:val="both"/>
      </w:pPr>
      <w:r>
        <w:t xml:space="preserve">По результатам проведения </w:t>
      </w:r>
      <w:r w:rsidRPr="004E7DAD">
        <w:t>внутреннего финансового контроля на</w:t>
      </w:r>
      <w:r>
        <w:t xml:space="preserve">рушений в 2015 году не выявлено (за исключением </w:t>
      </w:r>
      <w:r w:rsidRPr="004E7DAD">
        <w:t>проверк</w:t>
      </w:r>
      <w:r>
        <w:t>и</w:t>
      </w:r>
      <w:r w:rsidRPr="004E7DAD">
        <w:t xml:space="preserve"> обоснованности потребности в средствах областного бюджета</w:t>
      </w:r>
      <w:r w:rsidR="00D3631D">
        <w:t>, осуществляемой в целях подготовки документов, требующихся для составления и представления проекта областного бюджета на 2016-2018 годы,</w:t>
      </w:r>
      <w:r w:rsidR="00D3631D" w:rsidRPr="00D3631D">
        <w:t xml:space="preserve"> </w:t>
      </w:r>
      <w:r w:rsidR="00D3631D">
        <w:t xml:space="preserve">в ходе </w:t>
      </w:r>
      <w:r w:rsidR="00341640">
        <w:t xml:space="preserve">которой </w:t>
      </w:r>
      <w:r w:rsidR="00D3631D">
        <w:t>выявл</w:t>
      </w:r>
      <w:r w:rsidR="00341640">
        <w:t>ены</w:t>
      </w:r>
      <w:r w:rsidR="00D3631D">
        <w:t xml:space="preserve"> необоснованные суммы затрат при формировании потребности подведомственными учреждениями</w:t>
      </w:r>
      <w:r w:rsidR="003B6C51">
        <w:t>).</w:t>
      </w:r>
    </w:p>
    <w:p w:rsidR="004558CF" w:rsidRPr="004558CF" w:rsidRDefault="0071656D" w:rsidP="0071656D">
      <w:pPr>
        <w:ind w:firstLine="680"/>
        <w:jc w:val="both"/>
      </w:pPr>
      <w:r w:rsidRPr="004E7DAD">
        <w:t>В штатном расписании Комитета предусмотрен сектор внутреннего финансового аудита численностью 1 штатная единица</w:t>
      </w:r>
      <w:r w:rsidR="003B6C51">
        <w:t xml:space="preserve">, </w:t>
      </w:r>
      <w:r w:rsidR="003B6C51" w:rsidRPr="008A5D48">
        <w:t xml:space="preserve">который был создан </w:t>
      </w:r>
      <w:r w:rsidR="008A5D48">
        <w:t>с 01.06.2015.</w:t>
      </w:r>
      <w:r w:rsidR="003B6C51" w:rsidRPr="004558CF">
        <w:t xml:space="preserve"> </w:t>
      </w:r>
      <w:r w:rsidR="00CF0D48" w:rsidRPr="004558CF">
        <w:t xml:space="preserve">До создания сектора внутреннего </w:t>
      </w:r>
      <w:proofErr w:type="spellStart"/>
      <w:r w:rsidR="00CF0D48" w:rsidRPr="004558CF">
        <w:t>финансовго</w:t>
      </w:r>
      <w:proofErr w:type="spellEnd"/>
      <w:r w:rsidR="00CF0D48" w:rsidRPr="004558CF">
        <w:t xml:space="preserve"> аудита полномочия по осуществлению внутреннего финансового аудита были возложены на начальника финансово-экономического отдела – главного бухгалтера</w:t>
      </w:r>
      <w:r w:rsidR="005A1112" w:rsidRPr="004558CF">
        <w:t xml:space="preserve"> Комитета</w:t>
      </w:r>
      <w:r w:rsidR="004558CF" w:rsidRPr="004558CF">
        <w:t xml:space="preserve"> (приказ Комитета от 29.12.2014 № 318).</w:t>
      </w:r>
    </w:p>
    <w:p w:rsidR="0071656D" w:rsidRPr="004E7DAD" w:rsidRDefault="0071656D" w:rsidP="0071656D">
      <w:pPr>
        <w:ind w:firstLine="680"/>
        <w:jc w:val="both"/>
      </w:pPr>
      <w:r w:rsidRPr="004E7DAD">
        <w:t xml:space="preserve">Согласно представленной Комитетом информации в 2015 году </w:t>
      </w:r>
      <w:r w:rsidR="003B6C51">
        <w:t xml:space="preserve">в рамках внутреннего финансового </w:t>
      </w:r>
      <w:r w:rsidR="00341640">
        <w:t>аудита</w:t>
      </w:r>
      <w:r w:rsidR="003B6C51">
        <w:t xml:space="preserve"> </w:t>
      </w:r>
      <w:r w:rsidRPr="004E7DAD">
        <w:t xml:space="preserve">осуществлены проверки финансово-хозяйственной деятельности </w:t>
      </w:r>
      <w:r w:rsidR="00341640">
        <w:lastRenderedPageBreak/>
        <w:t>четырех казенных учреждений и</w:t>
      </w:r>
      <w:r w:rsidRPr="004E7DAD">
        <w:t xml:space="preserve"> финансово-экономического отдела</w:t>
      </w:r>
      <w:r w:rsidR="006B6EA7">
        <w:t xml:space="preserve"> Комитета</w:t>
      </w:r>
      <w:r w:rsidRPr="004E7DAD">
        <w:t xml:space="preserve">. </w:t>
      </w:r>
      <w:proofErr w:type="gramStart"/>
      <w:r w:rsidRPr="004E7DAD">
        <w:t xml:space="preserve">В ходе проверок выявлены следующие нарушения: </w:t>
      </w:r>
      <w:r w:rsidRPr="004E7DAD">
        <w:rPr>
          <w:bCs/>
        </w:rPr>
        <w:t>неправильное применение норм списания топлива и ГСМ</w:t>
      </w:r>
      <w:r w:rsidR="003B6C51">
        <w:rPr>
          <w:bCs/>
        </w:rPr>
        <w:t>;</w:t>
      </w:r>
      <w:r w:rsidRPr="004E7DAD">
        <w:rPr>
          <w:bCs/>
        </w:rPr>
        <w:t xml:space="preserve"> несоответствие отдельных нормативных актов учреждения действующему законодательству;  нарушения в установлении и выплате доплат работникам за расширение сфер обслуживания, сверхурочную работу,  за работу в ночное время, выходные и праздничные дни</w:t>
      </w:r>
      <w:r w:rsidR="003B6C51">
        <w:rPr>
          <w:bCs/>
        </w:rPr>
        <w:t>;</w:t>
      </w:r>
      <w:r w:rsidRPr="004E7DAD">
        <w:rPr>
          <w:bCs/>
        </w:rPr>
        <w:t xml:space="preserve"> </w:t>
      </w:r>
      <w:r w:rsidR="003B6C51">
        <w:rPr>
          <w:bCs/>
        </w:rPr>
        <w:t xml:space="preserve">нарушения </w:t>
      </w:r>
      <w:r w:rsidRPr="004E7DAD">
        <w:rPr>
          <w:bCs/>
        </w:rPr>
        <w:t>в начислении и выплате заработной плате работникам учреждений и другие.</w:t>
      </w:r>
      <w:proofErr w:type="gramEnd"/>
      <w:r w:rsidRPr="004E7DAD">
        <w:rPr>
          <w:bCs/>
        </w:rPr>
        <w:t xml:space="preserve"> </w:t>
      </w:r>
      <w:r w:rsidRPr="004E7DAD">
        <w:t xml:space="preserve">На дату </w:t>
      </w:r>
      <w:r w:rsidR="006B6EA7">
        <w:t>внешней проверки</w:t>
      </w:r>
      <w:r w:rsidRPr="004E7DAD">
        <w:t xml:space="preserve"> учреждениями выявленные нарушения устранены.</w:t>
      </w:r>
    </w:p>
    <w:p w:rsidR="0071656D" w:rsidRPr="003B6C51" w:rsidRDefault="0071656D" w:rsidP="0071656D">
      <w:pPr>
        <w:ind w:firstLine="680"/>
        <w:jc w:val="both"/>
        <w:rPr>
          <w:b/>
        </w:rPr>
      </w:pPr>
      <w:r w:rsidRPr="004E7DAD">
        <w:t>В соответствии со ст. 160.2-1 Б</w:t>
      </w:r>
      <w:r>
        <w:t>К</w:t>
      </w:r>
      <w:r w:rsidRPr="004E7DAD">
        <w:t xml:space="preserve"> РФ, п. 3.2 Порядка 266-п одной из целей внутреннего финансового аудита является подтверждение достоверности бюджетной отчетности. Однако в 2015 году</w:t>
      </w:r>
      <w:r w:rsidR="00CA5918">
        <w:t xml:space="preserve"> и на момен</w:t>
      </w:r>
      <w:r w:rsidR="005450F1">
        <w:t xml:space="preserve">т </w:t>
      </w:r>
      <w:r w:rsidR="006611FD">
        <w:t xml:space="preserve">окончания </w:t>
      </w:r>
      <w:r w:rsidR="006B6EA7">
        <w:t>внешней проверки</w:t>
      </w:r>
      <w:r w:rsidR="006611FD">
        <w:t xml:space="preserve"> в 2016 году </w:t>
      </w:r>
      <w:r w:rsidRPr="004E7DAD">
        <w:t xml:space="preserve">проверка </w:t>
      </w:r>
      <w:r w:rsidR="006B7A0A">
        <w:t xml:space="preserve">(исследование) </w:t>
      </w:r>
      <w:r w:rsidRPr="004E7DAD">
        <w:t xml:space="preserve">бюджетной отчетности на предмет </w:t>
      </w:r>
      <w:r w:rsidR="00E24E73">
        <w:t xml:space="preserve">ее </w:t>
      </w:r>
      <w:r w:rsidRPr="004E7DAD">
        <w:t>достоверности</w:t>
      </w:r>
      <w:r w:rsidR="00E24E73">
        <w:t xml:space="preserve"> </w:t>
      </w:r>
      <w:r w:rsidRPr="004E7DAD">
        <w:t>сектором внутреннего финансового аудита не проводилась.</w:t>
      </w:r>
      <w:r>
        <w:t xml:space="preserve"> </w:t>
      </w:r>
      <w:r w:rsidR="0042280D">
        <w:t xml:space="preserve">При этом настоящей проверкой выявлены случаи </w:t>
      </w:r>
      <w:r w:rsidR="00406346">
        <w:t xml:space="preserve">искажения бюджетной отчетности </w:t>
      </w:r>
      <w:r w:rsidR="0042280D">
        <w:t>за 2015 год.</w:t>
      </w:r>
    </w:p>
    <w:p w:rsidR="0071656D" w:rsidRPr="004E7DAD" w:rsidRDefault="0071656D" w:rsidP="0071656D">
      <w:pPr>
        <w:ind w:firstLine="680"/>
      </w:pPr>
    </w:p>
    <w:p w:rsidR="004B505E" w:rsidRPr="00B448DB" w:rsidRDefault="004B505E" w:rsidP="00FE3CA9">
      <w:pPr>
        <w:ind w:firstLine="709"/>
        <w:jc w:val="both"/>
        <w:rPr>
          <w:b/>
          <w:i/>
        </w:rPr>
      </w:pPr>
      <w:r w:rsidRPr="00B448DB">
        <w:rPr>
          <w:b/>
          <w:i/>
        </w:rPr>
        <w:t>Выводы:</w:t>
      </w:r>
    </w:p>
    <w:p w:rsidR="00224338" w:rsidRPr="00BD3C4E" w:rsidRDefault="00D21D4D" w:rsidP="00224338">
      <w:pPr>
        <w:pStyle w:val="afb"/>
        <w:numPr>
          <w:ilvl w:val="0"/>
          <w:numId w:val="48"/>
        </w:numPr>
        <w:ind w:left="0" w:firstLine="680"/>
        <w:jc w:val="both"/>
        <w:rPr>
          <w:i/>
        </w:rPr>
      </w:pPr>
      <w:r w:rsidRPr="00BD3C4E">
        <w:t xml:space="preserve">Визуальной проверкой правильности заполнения Комитетом </w:t>
      </w:r>
      <w:r w:rsidR="00C8289D" w:rsidRPr="00BD3C4E">
        <w:t xml:space="preserve">и подведомственными ему учреждениями </w:t>
      </w:r>
      <w:r w:rsidRPr="00BD3C4E">
        <w:t xml:space="preserve">форм бюджетной отчетности установлены </w:t>
      </w:r>
      <w:r w:rsidR="008B7F10" w:rsidRPr="00BD3C4E">
        <w:t>30</w:t>
      </w:r>
      <w:r w:rsidR="002D12BC" w:rsidRPr="00BD3C4E">
        <w:t xml:space="preserve"> случа</w:t>
      </w:r>
      <w:r w:rsidR="00517534" w:rsidRPr="00BD3C4E">
        <w:t xml:space="preserve">ев </w:t>
      </w:r>
      <w:r w:rsidRPr="00BD3C4E">
        <w:t xml:space="preserve">нарушений при заполнении </w:t>
      </w:r>
      <w:r w:rsidR="008B7F10" w:rsidRPr="00BD3C4E">
        <w:t xml:space="preserve">30-ти </w:t>
      </w:r>
      <w:r w:rsidRPr="00BD3C4E">
        <w:t xml:space="preserve">форм бюджетной отчетности, </w:t>
      </w:r>
      <w:r w:rsidR="00B448DB" w:rsidRPr="00BD3C4E">
        <w:t>чем не соблюдены положения Инструкций № 191н и 33н. В ходе проверки внесены исправления в семь форм бюджетной отчетности.</w:t>
      </w:r>
    </w:p>
    <w:p w:rsidR="008D575E" w:rsidRPr="00BD3C4E" w:rsidRDefault="008B7F10" w:rsidP="00DE02A3">
      <w:pPr>
        <w:pStyle w:val="afb"/>
        <w:numPr>
          <w:ilvl w:val="0"/>
          <w:numId w:val="48"/>
        </w:numPr>
        <w:ind w:left="0" w:firstLine="680"/>
        <w:jc w:val="both"/>
      </w:pPr>
      <w:r w:rsidRPr="00BD3C4E">
        <w:t>Проверкой установлен</w:t>
      </w:r>
      <w:r w:rsidR="008D575E" w:rsidRPr="00BD3C4E">
        <w:t>ы случаи неведения или неправильного ведения аналитического учета по отдельным счетам, а именно:</w:t>
      </w:r>
    </w:p>
    <w:p w:rsidR="008D575E" w:rsidRPr="00BD3C4E" w:rsidRDefault="008D575E" w:rsidP="008D575E">
      <w:pPr>
        <w:ind w:firstLine="680"/>
        <w:jc w:val="both"/>
      </w:pPr>
      <w:r w:rsidRPr="00BD3C4E">
        <w:t xml:space="preserve">- </w:t>
      </w:r>
      <w:r w:rsidR="00224338" w:rsidRPr="00BD3C4E">
        <w:t xml:space="preserve">ГКУ «2 отряд ПС», ГКУ «5 отряд ПС», ГКУ «Комплекс»  и ГКУ «АСС» </w:t>
      </w:r>
      <w:r w:rsidRPr="00BD3C4E">
        <w:t xml:space="preserve">в нарушение п. 385 Инструкции № 157н </w:t>
      </w:r>
      <w:r w:rsidR="00224338" w:rsidRPr="00BD3C4E">
        <w:t xml:space="preserve">не велся </w:t>
      </w:r>
      <w:proofErr w:type="spellStart"/>
      <w:r w:rsidR="00224338" w:rsidRPr="00BD3C4E">
        <w:t>забалансовый</w:t>
      </w:r>
      <w:proofErr w:type="spellEnd"/>
      <w:r w:rsidR="00224338" w:rsidRPr="00BD3C4E">
        <w:t xml:space="preserve"> счет 27 «Материальные ценности, выданные в личное пользование работникам (сотрудникам)»</w:t>
      </w:r>
      <w:r w:rsidRPr="00BD3C4E">
        <w:t>;</w:t>
      </w:r>
    </w:p>
    <w:p w:rsidR="00444018" w:rsidRPr="00BD3C4E" w:rsidRDefault="008D575E" w:rsidP="008D575E">
      <w:pPr>
        <w:ind w:firstLine="680"/>
        <w:jc w:val="both"/>
      </w:pPr>
      <w:r w:rsidRPr="00BD3C4E">
        <w:t xml:space="preserve">- Комитетом в </w:t>
      </w:r>
      <w:r w:rsidR="00DE02A3" w:rsidRPr="00BD3C4E">
        <w:t xml:space="preserve">нарушение п. </w:t>
      </w:r>
      <w:r w:rsidR="000B740A" w:rsidRPr="00BD3C4E">
        <w:t xml:space="preserve">150 Инструкции </w:t>
      </w:r>
      <w:r w:rsidR="00DE02A3" w:rsidRPr="00BD3C4E">
        <w:t xml:space="preserve">№ 162н </w:t>
      </w:r>
      <w:r w:rsidRPr="00BD3C4E">
        <w:t xml:space="preserve">не использовался </w:t>
      </w:r>
      <w:r w:rsidR="00DE02A3" w:rsidRPr="00BD3C4E">
        <w:t>счет 0 504 00 000 «Сметные (плановые, прогнозные) назначения» для обобщения информации о прогнозируемых (планируемых) доходах (поступлениях)</w:t>
      </w:r>
      <w:r w:rsidRPr="00BD3C4E">
        <w:t>;</w:t>
      </w:r>
    </w:p>
    <w:p w:rsidR="008F6CCE" w:rsidRPr="00BD3C4E" w:rsidRDefault="008D575E" w:rsidP="008D575E">
      <w:pPr>
        <w:ind w:firstLine="680"/>
        <w:jc w:val="both"/>
      </w:pPr>
      <w:r w:rsidRPr="00BD3C4E">
        <w:t xml:space="preserve">- </w:t>
      </w:r>
      <w:r w:rsidR="00F0616A" w:rsidRPr="00BD3C4E">
        <w:t>Комитетом, ГКУ «</w:t>
      </w:r>
      <w:proofErr w:type="spellStart"/>
      <w:r w:rsidR="00F0616A" w:rsidRPr="00BD3C4E">
        <w:t>ЦУиС</w:t>
      </w:r>
      <w:proofErr w:type="spellEnd"/>
      <w:r w:rsidR="00F0616A" w:rsidRPr="00BD3C4E">
        <w:t xml:space="preserve">» и ГБОУ «УМЦ» </w:t>
      </w:r>
      <w:r w:rsidR="00444018" w:rsidRPr="00BD3C4E">
        <w:t xml:space="preserve">ведение аналитического учета по </w:t>
      </w:r>
      <w:proofErr w:type="spellStart"/>
      <w:r w:rsidR="00444018" w:rsidRPr="00BD3C4E">
        <w:t>забалансовым</w:t>
      </w:r>
      <w:proofErr w:type="spellEnd"/>
      <w:r w:rsidR="00444018" w:rsidRPr="00BD3C4E">
        <w:t xml:space="preserve"> счетам 17 «Поступления денежных средств на счета учреждения» и 18 «Выбытия денежных средств со счетов учреждения»</w:t>
      </w:r>
      <w:r w:rsidR="008F6CCE" w:rsidRPr="00BD3C4E">
        <w:t xml:space="preserve"> осуществлялось в нарушение п.п. 365 и 367 Инструкции №157н.</w:t>
      </w:r>
    </w:p>
    <w:p w:rsidR="00444018" w:rsidRPr="00444018" w:rsidRDefault="00C40155" w:rsidP="00444018">
      <w:pPr>
        <w:pStyle w:val="afb"/>
        <w:numPr>
          <w:ilvl w:val="0"/>
          <w:numId w:val="48"/>
        </w:numPr>
        <w:ind w:left="0" w:firstLine="680"/>
        <w:jc w:val="both"/>
      </w:pPr>
      <w:r w:rsidRPr="00BD3C4E">
        <w:t>Плановые назначения по закрепленным за Комитетом</w:t>
      </w:r>
      <w:r w:rsidRPr="00444018">
        <w:t xml:space="preserve"> 10-ти видам доходов выполнены в сумме 271 305,2 тыс. руб., или на 119,1% от утвержденных бюджетных назначений.  На перевыполнение прогнозного</w:t>
      </w:r>
      <w:r w:rsidR="00444018" w:rsidRPr="00444018">
        <w:t xml:space="preserve"> показателя</w:t>
      </w:r>
      <w:r w:rsidRPr="00444018">
        <w:t xml:space="preserve"> повлияло поступление из федерального бюджета субсидий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r w:rsidR="00444018" w:rsidRPr="00444018">
        <w:t>,</w:t>
      </w:r>
      <w:r w:rsidRPr="00444018">
        <w:t xml:space="preserve"> в размере 44 422,2 тыс. руб. в конце 2015 года.</w:t>
      </w:r>
    </w:p>
    <w:p w:rsidR="007464FB" w:rsidRPr="00444018" w:rsidRDefault="006C4CCC" w:rsidP="00444018">
      <w:pPr>
        <w:pStyle w:val="afb"/>
        <w:numPr>
          <w:ilvl w:val="0"/>
          <w:numId w:val="48"/>
        </w:numPr>
        <w:ind w:left="0" w:firstLine="680"/>
        <w:jc w:val="both"/>
      </w:pPr>
      <w:r w:rsidRPr="00444018">
        <w:t>Утвержденные бюджетные назначения по расходам исполнены в сумме 746 906,6 тыс. руб.</w:t>
      </w:r>
      <w:r w:rsidR="00444018">
        <w:t xml:space="preserve">, или на </w:t>
      </w:r>
      <w:r w:rsidRPr="00444018">
        <w:t xml:space="preserve">94,4%, </w:t>
      </w:r>
      <w:r w:rsidR="007B6571" w:rsidRPr="00444018">
        <w:t>ч</w:t>
      </w:r>
      <w:r w:rsidRPr="00444018">
        <w:t xml:space="preserve">то </w:t>
      </w:r>
      <w:r w:rsidR="007B6571" w:rsidRPr="00444018">
        <w:t xml:space="preserve">обусловлено </w:t>
      </w:r>
      <w:r w:rsidR="007464FB" w:rsidRPr="00444018">
        <w:t xml:space="preserve">поздним поступлением (29.12.2015) </w:t>
      </w:r>
      <w:r w:rsidR="007B6571" w:rsidRPr="00444018">
        <w:t xml:space="preserve">субсидий </w:t>
      </w:r>
      <w:r w:rsidR="007464FB" w:rsidRPr="00444018">
        <w:t xml:space="preserve"> из федерального бюджета </w:t>
      </w:r>
      <w:r w:rsidR="007B6571" w:rsidRPr="00444018">
        <w:t xml:space="preserve">на </w:t>
      </w:r>
      <w:r w:rsidR="007464FB" w:rsidRPr="00444018">
        <w:t>обустройство граждан Украины</w:t>
      </w:r>
      <w:r w:rsidR="007B6571" w:rsidRPr="00444018">
        <w:t>, а также</w:t>
      </w:r>
      <w:r w:rsidR="007464FB" w:rsidRPr="00444018">
        <w:t xml:space="preserve"> отсутствием финансирования по заявкам на оплату расходов.</w:t>
      </w:r>
    </w:p>
    <w:p w:rsidR="00F62D11" w:rsidRDefault="00A86EE7" w:rsidP="00F62D11">
      <w:pPr>
        <w:ind w:firstLine="680"/>
        <w:jc w:val="both"/>
      </w:pPr>
      <w:r w:rsidRPr="00444018">
        <w:t>В 2015 году произведены выплаты денежных поощрений ГГС Комитета на общую сумму 5 564,5 тыс. руб., в т.ч. за счет экономии фонда оплаты труда – на 992,6 тыс. рублей.</w:t>
      </w:r>
    </w:p>
    <w:p w:rsidR="00D93EB7" w:rsidRPr="00F62D11" w:rsidRDefault="00585464" w:rsidP="00F62D11">
      <w:pPr>
        <w:pStyle w:val="afb"/>
        <w:numPr>
          <w:ilvl w:val="0"/>
          <w:numId w:val="48"/>
        </w:numPr>
        <w:ind w:left="0" w:firstLine="680"/>
        <w:jc w:val="both"/>
      </w:pPr>
      <w:r w:rsidRPr="00F62D11">
        <w:t>Субсидия на финансовое обеспечение выполнения го</w:t>
      </w:r>
      <w:r w:rsidR="00501C98">
        <w:t>сударственного задания ГБОУ «УМ</w:t>
      </w:r>
      <w:r w:rsidRPr="00F62D11">
        <w:t>Ц» профинансирована в размере 13 763,8 тыс. руб., или на 91,9 процента.</w:t>
      </w:r>
      <w:r w:rsidR="00D93EB7" w:rsidRPr="00F62D11">
        <w:t xml:space="preserve"> </w:t>
      </w:r>
      <w:r w:rsidR="004661C5">
        <w:t>Количество слушателей, подлежащих обучению</w:t>
      </w:r>
      <w:r w:rsidR="00AC7A1D">
        <w:t xml:space="preserve"> на бесплатной основе</w:t>
      </w:r>
      <w:r w:rsidR="004661C5">
        <w:t xml:space="preserve">, согласно государственному заданию составило 1821 человек. </w:t>
      </w:r>
      <w:r w:rsidR="00D93EB7" w:rsidRPr="00F62D11">
        <w:t xml:space="preserve">Фактически за 2015 год прошли обучение в области гражданской обороны, защиты от чрезвычайных ситуаций природного и </w:t>
      </w:r>
      <w:r w:rsidR="00D93EB7" w:rsidRPr="00F62D11">
        <w:lastRenderedPageBreak/>
        <w:t xml:space="preserve">техногенного характера и пожарной безопасности  </w:t>
      </w:r>
      <w:r w:rsidR="00CB7D94">
        <w:t xml:space="preserve">на бесплатной основе </w:t>
      </w:r>
      <w:r w:rsidR="00D93EB7" w:rsidRPr="00F62D11">
        <w:t xml:space="preserve">1985 слушателей, </w:t>
      </w:r>
      <w:r w:rsidR="00CB7D94">
        <w:t>т.е. обучение</w:t>
      </w:r>
      <w:r w:rsidR="007737FE">
        <w:t xml:space="preserve"> сверхпланового количества слушателей (+164 чел.) </w:t>
      </w:r>
      <w:r w:rsidR="00AC7A1D">
        <w:t xml:space="preserve">производилось счет средств </w:t>
      </w:r>
      <w:r w:rsidR="007737FE">
        <w:t xml:space="preserve">доходов </w:t>
      </w:r>
      <w:r w:rsidR="00075594">
        <w:t>от платных услуг.</w:t>
      </w:r>
    </w:p>
    <w:p w:rsidR="00A86EE7" w:rsidRDefault="00A86EE7" w:rsidP="00A86EE7">
      <w:pPr>
        <w:ind w:firstLine="680"/>
        <w:jc w:val="both"/>
      </w:pPr>
      <w:r w:rsidRPr="00B46AB8">
        <w:t>Го</w:t>
      </w:r>
      <w:r w:rsidR="00501C98">
        <w:t>сударственным заданием ГБОУ «УМ</w:t>
      </w:r>
      <w:r w:rsidRPr="00B46AB8">
        <w:t>Ц» на 2015 год предусмотрен</w:t>
      </w:r>
      <w:r w:rsidR="008D46F2">
        <w:t xml:space="preserve"> </w:t>
      </w:r>
      <w:r w:rsidRPr="00B46AB8">
        <w:t>контрол</w:t>
      </w:r>
      <w:r w:rsidR="000D0CE4">
        <w:t>ь</w:t>
      </w:r>
      <w:r w:rsidRPr="00B46AB8">
        <w:t xml:space="preserve"> в виде выездной проверки с периодичностью не реже одного раза в год.</w:t>
      </w:r>
      <w:r>
        <w:t xml:space="preserve"> </w:t>
      </w:r>
      <w:r w:rsidRPr="00B46AB8">
        <w:t>Вместе с тем выездная проверка ГБ</w:t>
      </w:r>
      <w:r w:rsidR="00501C98">
        <w:t>О</w:t>
      </w:r>
      <w:r w:rsidRPr="00B46AB8">
        <w:t>У «УМЦ» в рамках внутреннего</w:t>
      </w:r>
      <w:r>
        <w:t xml:space="preserve"> финансов</w:t>
      </w:r>
      <w:r w:rsidR="000D0CE4">
        <w:t>о</w:t>
      </w:r>
      <w:r>
        <w:t>го</w:t>
      </w:r>
      <w:r w:rsidRPr="00B46AB8">
        <w:t xml:space="preserve"> контроля Комитетом в 2015 году не проводилась. </w:t>
      </w:r>
    </w:p>
    <w:p w:rsidR="00222DFA" w:rsidRDefault="00B03640" w:rsidP="000D0CE4">
      <w:pPr>
        <w:pStyle w:val="afb"/>
        <w:numPr>
          <w:ilvl w:val="0"/>
          <w:numId w:val="48"/>
        </w:numPr>
        <w:ind w:left="0" w:firstLine="680"/>
        <w:jc w:val="both"/>
      </w:pPr>
      <w:r>
        <w:t>В Годовом докладе э</w:t>
      </w:r>
      <w:r w:rsidRPr="004E7DAD">
        <w:t>ффективность реализаци</w:t>
      </w:r>
      <w:r w:rsidR="008B7F10">
        <w:t>и</w:t>
      </w:r>
      <w:r w:rsidRPr="004E7DAD">
        <w:t xml:space="preserve"> Госпрограммы </w:t>
      </w:r>
      <w:r w:rsidRPr="00EE6154">
        <w:t>определена высокой (значение показателя эффективности составляет 90%)</w:t>
      </w:r>
      <w:r>
        <w:t xml:space="preserve"> </w:t>
      </w:r>
      <w:r w:rsidR="00222DFA">
        <w:t xml:space="preserve">при </w:t>
      </w:r>
      <w:r w:rsidRPr="004E7DAD">
        <w:t>неисполнени</w:t>
      </w:r>
      <w:r w:rsidR="00222DFA">
        <w:t>и</w:t>
      </w:r>
      <w:r w:rsidRPr="004E7DAD">
        <w:t xml:space="preserve"> </w:t>
      </w:r>
      <w:r>
        <w:t xml:space="preserve">плановых объемов финансирования  Госпрограммы </w:t>
      </w:r>
      <w:r w:rsidR="00222DFA">
        <w:t>в размере</w:t>
      </w:r>
      <w:r>
        <w:t xml:space="preserve"> 49 866,1 тыс. рублей. </w:t>
      </w:r>
    </w:p>
    <w:p w:rsidR="000D0CE4" w:rsidRDefault="00355721" w:rsidP="000D0CE4">
      <w:pPr>
        <w:pStyle w:val="afb"/>
        <w:numPr>
          <w:ilvl w:val="0"/>
          <w:numId w:val="48"/>
        </w:numPr>
        <w:ind w:left="0" w:firstLine="680"/>
        <w:jc w:val="both"/>
      </w:pPr>
      <w:r>
        <w:t xml:space="preserve">По результатам проведения </w:t>
      </w:r>
      <w:r w:rsidRPr="004E7DAD">
        <w:t>внутреннего финансового контроля на</w:t>
      </w:r>
      <w:r>
        <w:t xml:space="preserve">рушений в 2015 году практически не выявлено (за исключением </w:t>
      </w:r>
      <w:r w:rsidRPr="004E7DAD">
        <w:t>проверк</w:t>
      </w:r>
      <w:r>
        <w:t>и</w:t>
      </w:r>
      <w:r w:rsidRPr="004E7DAD">
        <w:t xml:space="preserve"> обоснованности потребности в средствах областного бюджета</w:t>
      </w:r>
      <w:r>
        <w:t>, осуществляемой в целях подготовки документов, требующихся для составления и представления проекта областного бюджета на 2016-2018 годы).</w:t>
      </w:r>
    </w:p>
    <w:p w:rsidR="00355721" w:rsidRDefault="00355721" w:rsidP="000D0CE4">
      <w:pPr>
        <w:pStyle w:val="afb"/>
        <w:numPr>
          <w:ilvl w:val="0"/>
          <w:numId w:val="48"/>
        </w:numPr>
        <w:ind w:left="0" w:firstLine="680"/>
        <w:jc w:val="both"/>
      </w:pPr>
      <w:proofErr w:type="gramStart"/>
      <w:r>
        <w:t xml:space="preserve">В </w:t>
      </w:r>
      <w:r w:rsidRPr="004E7DAD">
        <w:t>2015 году</w:t>
      </w:r>
      <w:r>
        <w:t xml:space="preserve"> и на момент окончания внешней проверки в 2016 году </w:t>
      </w:r>
      <w:r w:rsidRPr="004E7DAD">
        <w:t xml:space="preserve">проверка </w:t>
      </w:r>
      <w:r w:rsidR="006B7A0A">
        <w:t xml:space="preserve">(исследование) </w:t>
      </w:r>
      <w:r w:rsidRPr="004E7DAD">
        <w:t xml:space="preserve">бюджетной отчетности на предмет </w:t>
      </w:r>
      <w:r>
        <w:t xml:space="preserve">ее </w:t>
      </w:r>
      <w:r w:rsidRPr="004E7DAD">
        <w:t>достоверности</w:t>
      </w:r>
      <w:r>
        <w:t xml:space="preserve"> </w:t>
      </w:r>
      <w:r w:rsidRPr="004E7DAD">
        <w:t xml:space="preserve">сектором внутреннего финансового аудита </w:t>
      </w:r>
      <w:r>
        <w:t xml:space="preserve">Комитета </w:t>
      </w:r>
      <w:r w:rsidRPr="004E7DAD">
        <w:t>не проводилась</w:t>
      </w:r>
      <w:r>
        <w:t xml:space="preserve">, т.е. не была достигнута одна из целей  аудита, предусмотренная </w:t>
      </w:r>
      <w:r w:rsidRPr="004E7DAD">
        <w:t>ст. 160.2-1 Б</w:t>
      </w:r>
      <w:r>
        <w:t>К</w:t>
      </w:r>
      <w:r w:rsidRPr="004E7DAD">
        <w:t xml:space="preserve"> РФ</w:t>
      </w:r>
      <w:r w:rsidR="00510B56">
        <w:t xml:space="preserve"> и</w:t>
      </w:r>
      <w:r w:rsidRPr="004E7DAD">
        <w:t xml:space="preserve"> п. 3.2 Порядка 266-п </w:t>
      </w:r>
      <w:r w:rsidR="0082092A">
        <w:t>в части подтверждения достоверности бюджетной отчетности.</w:t>
      </w:r>
      <w:proofErr w:type="gramEnd"/>
      <w:r w:rsidR="00406346">
        <w:t xml:space="preserve"> При этом настоящей проверкой выявлены случаи искажения бюджетной отчетности.</w:t>
      </w:r>
    </w:p>
    <w:p w:rsidR="0082092A" w:rsidRDefault="0082092A" w:rsidP="00355721">
      <w:pPr>
        <w:ind w:firstLine="680"/>
        <w:jc w:val="both"/>
      </w:pPr>
    </w:p>
    <w:p w:rsidR="00913D82" w:rsidRPr="00510B56" w:rsidRDefault="00913D82" w:rsidP="00913D82">
      <w:pPr>
        <w:ind w:firstLine="709"/>
        <w:rPr>
          <w:b/>
          <w:i/>
        </w:rPr>
      </w:pPr>
      <w:r w:rsidRPr="00510B56">
        <w:rPr>
          <w:b/>
          <w:i/>
        </w:rPr>
        <w:t>Предложения:</w:t>
      </w:r>
    </w:p>
    <w:p w:rsidR="00913D82" w:rsidRPr="00DE0CF3" w:rsidRDefault="00913D82" w:rsidP="00913D82">
      <w:pPr>
        <w:ind w:firstLine="709"/>
        <w:jc w:val="both"/>
        <w:rPr>
          <w:i/>
          <w:u w:val="single"/>
        </w:rPr>
      </w:pPr>
      <w:r w:rsidRPr="00DE0CF3">
        <w:rPr>
          <w:i/>
          <w:u w:val="single"/>
        </w:rPr>
        <w:t>Комитету по обеспечению безопасности жизнедеятельности населения Волгоградской области:</w:t>
      </w:r>
    </w:p>
    <w:p w:rsidR="00691F04" w:rsidRDefault="00691F04" w:rsidP="00691F04">
      <w:pPr>
        <w:pStyle w:val="afb"/>
        <w:numPr>
          <w:ilvl w:val="0"/>
          <w:numId w:val="50"/>
        </w:numPr>
        <w:ind w:left="0" w:firstLine="680"/>
        <w:jc w:val="both"/>
      </w:pPr>
      <w:r w:rsidRPr="00691F04">
        <w:t xml:space="preserve">Указать главным бухгалтерам Комитета и подведомственных учреждений на недопущение случаев </w:t>
      </w:r>
      <w:r>
        <w:t>несоблюдения положений Инструкц</w:t>
      </w:r>
      <w:r w:rsidR="0000551C">
        <w:t>ий</w:t>
      </w:r>
      <w:r>
        <w:t xml:space="preserve"> № 191н и 33н при составлении бюджетной отчетности, выявленных настоящей проверкой.</w:t>
      </w:r>
    </w:p>
    <w:p w:rsidR="00691F04" w:rsidRPr="00691F04" w:rsidRDefault="00691F04" w:rsidP="0000551C">
      <w:pPr>
        <w:pStyle w:val="afb"/>
        <w:widowControl w:val="0"/>
        <w:numPr>
          <w:ilvl w:val="0"/>
          <w:numId w:val="50"/>
        </w:numPr>
        <w:autoSpaceDN w:val="0"/>
        <w:adjustRightInd w:val="0"/>
        <w:ind w:left="0" w:firstLine="680"/>
        <w:contextualSpacing w:val="0"/>
        <w:jc w:val="both"/>
      </w:pPr>
      <w:r w:rsidRPr="00691F04">
        <w:t>В целях заполнения бюджетной отчетности в соответствии с требованиями Инструкции 191н:</w:t>
      </w:r>
    </w:p>
    <w:p w:rsidR="00691F04" w:rsidRPr="004015F5" w:rsidRDefault="00691F04" w:rsidP="0000551C">
      <w:pPr>
        <w:widowControl w:val="0"/>
        <w:autoSpaceDN w:val="0"/>
        <w:adjustRightInd w:val="0"/>
        <w:ind w:firstLine="680"/>
        <w:jc w:val="both"/>
      </w:pPr>
      <w:r w:rsidRPr="00691F04">
        <w:t>- совместно с разработчиками программы «1С</w:t>
      </w:r>
      <w:proofErr w:type="gramStart"/>
      <w:r w:rsidRPr="00691F04">
        <w:t>:Б</w:t>
      </w:r>
      <w:proofErr w:type="gramEnd"/>
      <w:r w:rsidRPr="00691F04">
        <w:t>ухгалтерия»</w:t>
      </w:r>
      <w:r w:rsidR="004015F5">
        <w:t xml:space="preserve"> </w:t>
      </w:r>
      <w:r w:rsidRPr="00691F04">
        <w:t>обеспечить формирование плановых (прогнозных) назначений по доходам на счете 0 504 00 000 «</w:t>
      </w:r>
      <w:r w:rsidRPr="004015F5">
        <w:t>Сметные (плановые, прогнозные) назначения»;</w:t>
      </w:r>
    </w:p>
    <w:p w:rsidR="004015F5" w:rsidRDefault="004015F5" w:rsidP="0000551C">
      <w:pPr>
        <w:pStyle w:val="afb"/>
        <w:ind w:left="0" w:firstLine="709"/>
        <w:jc w:val="both"/>
      </w:pPr>
      <w:r w:rsidRPr="004015F5">
        <w:t>-</w:t>
      </w:r>
      <w:r w:rsidR="00E345AB">
        <w:t xml:space="preserve"> </w:t>
      </w:r>
      <w:r w:rsidRPr="004015F5">
        <w:t>совместно с разработчиками программы «БАРС» обеспечить формирование «Сведений об исполнении бюджета» (ф.0503164)</w:t>
      </w:r>
      <w:r>
        <w:t xml:space="preserve"> с учетом </w:t>
      </w:r>
      <w:r w:rsidRPr="004015F5">
        <w:t xml:space="preserve">положения п. 163 </w:t>
      </w:r>
      <w:r>
        <w:t>Инструкции № 191н.</w:t>
      </w:r>
    </w:p>
    <w:p w:rsidR="004015F5" w:rsidRPr="0019638E" w:rsidRDefault="008B0163" w:rsidP="00CA6D63">
      <w:pPr>
        <w:pStyle w:val="afb"/>
        <w:ind w:left="0" w:firstLine="680"/>
        <w:jc w:val="both"/>
      </w:pPr>
      <w:r>
        <w:t xml:space="preserve">3. Обеспечить </w:t>
      </w:r>
      <w:r w:rsidR="00D2178E">
        <w:t xml:space="preserve">осуществление в 2016 году всех форм </w:t>
      </w:r>
      <w:proofErr w:type="gramStart"/>
      <w:r w:rsidR="00D2178E">
        <w:t>контроля за</w:t>
      </w:r>
      <w:proofErr w:type="gramEnd"/>
      <w:r w:rsidR="00D2178E">
        <w:t xml:space="preserve"> выполнением государственного задания, предусмотренных </w:t>
      </w:r>
      <w:r>
        <w:t xml:space="preserve">государственным заданием </w:t>
      </w:r>
      <w:r w:rsidR="00501C98">
        <w:t>ГБОУ «УМ</w:t>
      </w:r>
      <w:r w:rsidRPr="00B46AB8">
        <w:t>Ц»</w:t>
      </w:r>
      <w:r>
        <w:t xml:space="preserve"> на 2016 год</w:t>
      </w:r>
      <w:r w:rsidR="00D2178E">
        <w:t xml:space="preserve"> </w:t>
      </w:r>
      <w:r w:rsidR="00D2178E" w:rsidRPr="0019638E">
        <w:t>и на плановый период 2017 и 2018 годов.</w:t>
      </w:r>
    </w:p>
    <w:p w:rsidR="00D2178E" w:rsidRPr="0019638E" w:rsidRDefault="00D2178E" w:rsidP="00CA6D63">
      <w:pPr>
        <w:pStyle w:val="afb"/>
        <w:ind w:left="0" w:firstLine="680"/>
        <w:jc w:val="both"/>
      </w:pPr>
      <w:r w:rsidRPr="0019638E">
        <w:t>4. В целях недопущения искажения бюджетной отчетности и полноты отражения учета хозяйственных операций в бухгалтерском учете на основании ст. 160.2-1 БК РФ</w:t>
      </w:r>
      <w:r w:rsidR="00E345AB">
        <w:t xml:space="preserve"> и</w:t>
      </w:r>
      <w:r w:rsidRPr="0019638E">
        <w:t xml:space="preserve"> </w:t>
      </w:r>
      <w:r w:rsidR="00E345AB">
        <w:t>п.</w:t>
      </w:r>
      <w:r w:rsidRPr="0019638E">
        <w:t xml:space="preserve">п. </w:t>
      </w:r>
      <w:r w:rsidR="00E345AB">
        <w:t xml:space="preserve">3.2 и </w:t>
      </w:r>
      <w:r w:rsidRPr="0019638E">
        <w:t>3.19 Порядка 266-п обеспечить проведение исследования (проверки) бюджетной отчетности  на предмет ее достоверности</w:t>
      </w:r>
      <w:r w:rsidR="007A2534">
        <w:t xml:space="preserve"> перед внешней проверкой бюджетной отчетности за 2016 год.</w:t>
      </w:r>
    </w:p>
    <w:p w:rsidR="006B7A0A" w:rsidRDefault="006B7A0A" w:rsidP="00CA6D63">
      <w:pPr>
        <w:pStyle w:val="afb"/>
        <w:ind w:left="0" w:firstLine="680"/>
        <w:jc w:val="both"/>
      </w:pPr>
    </w:p>
    <w:p w:rsidR="008526AA" w:rsidRPr="001976BC" w:rsidRDefault="008526AA" w:rsidP="008526AA">
      <w:pPr>
        <w:autoSpaceDE w:val="0"/>
        <w:autoSpaceDN w:val="0"/>
        <w:adjustRightInd w:val="0"/>
        <w:ind w:firstLine="720"/>
        <w:jc w:val="both"/>
        <w:rPr>
          <w:color w:val="76923C" w:themeColor="accent3" w:themeShade="BF"/>
        </w:rPr>
      </w:pPr>
    </w:p>
    <w:p w:rsidR="0019638E" w:rsidRDefault="00D21D4D" w:rsidP="002F2691">
      <w:pPr>
        <w:tabs>
          <w:tab w:val="left" w:pos="2985"/>
        </w:tabs>
        <w:jc w:val="both"/>
      </w:pPr>
      <w:r w:rsidRPr="006729DF">
        <w:rPr>
          <w:b/>
          <w:i/>
        </w:rPr>
        <w:t>Аудитор</w:t>
      </w:r>
      <w:r>
        <w:rPr>
          <w:b/>
          <w:i/>
        </w:rPr>
        <w:t xml:space="preserve">    </w:t>
      </w:r>
      <w:r w:rsidRPr="006729DF">
        <w:rPr>
          <w:b/>
          <w:i/>
        </w:rPr>
        <w:tab/>
      </w:r>
      <w:r w:rsidRPr="006729DF">
        <w:rPr>
          <w:b/>
          <w:i/>
        </w:rPr>
        <w:tab/>
      </w:r>
      <w:r w:rsidRPr="006729DF">
        <w:rPr>
          <w:b/>
          <w:i/>
        </w:rPr>
        <w:tab/>
      </w:r>
      <w:r w:rsidRPr="006729DF">
        <w:rPr>
          <w:b/>
          <w:i/>
        </w:rPr>
        <w:tab/>
      </w:r>
      <w:r w:rsidRPr="006729DF">
        <w:rPr>
          <w:b/>
          <w:i/>
        </w:rPr>
        <w:tab/>
      </w:r>
      <w:r w:rsidRPr="006729DF">
        <w:rPr>
          <w:b/>
          <w:i/>
        </w:rPr>
        <w:tab/>
      </w:r>
      <w:r w:rsidRPr="006729DF">
        <w:rPr>
          <w:b/>
          <w:i/>
        </w:rPr>
        <w:tab/>
      </w:r>
      <w:r>
        <w:rPr>
          <w:b/>
          <w:i/>
        </w:rPr>
        <w:t xml:space="preserve">           </w:t>
      </w:r>
      <w:r w:rsidRPr="006729DF">
        <w:rPr>
          <w:b/>
          <w:i/>
        </w:rPr>
        <w:t>Н.Л.</w:t>
      </w:r>
      <w:r>
        <w:rPr>
          <w:b/>
          <w:i/>
        </w:rPr>
        <w:t xml:space="preserve"> </w:t>
      </w:r>
      <w:proofErr w:type="spellStart"/>
      <w:r w:rsidRPr="006729DF">
        <w:rPr>
          <w:b/>
          <w:i/>
        </w:rPr>
        <w:t>Ноздрюхина</w:t>
      </w:r>
      <w:proofErr w:type="spellEnd"/>
    </w:p>
    <w:sectPr w:rsidR="0019638E" w:rsidSect="00465FE6">
      <w:headerReference w:type="even" r:id="rId8"/>
      <w:headerReference w:type="default" r:id="rId9"/>
      <w:footerReference w:type="default" r:id="rId10"/>
      <w:pgSz w:w="11906" w:h="16838"/>
      <w:pgMar w:top="284" w:right="851" w:bottom="28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113" w:rsidRDefault="00F82113">
      <w:r>
        <w:separator/>
      </w:r>
    </w:p>
  </w:endnote>
  <w:endnote w:type="continuationSeparator" w:id="0">
    <w:p w:rsidR="00F82113" w:rsidRDefault="00F82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13" w:rsidRDefault="00F82113">
    <w:pPr>
      <w:pStyle w:val="af4"/>
      <w:jc w:val="center"/>
    </w:pPr>
  </w:p>
  <w:p w:rsidR="00F82113" w:rsidRDefault="00F8211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113" w:rsidRDefault="00F82113">
      <w:r>
        <w:separator/>
      </w:r>
    </w:p>
  </w:footnote>
  <w:footnote w:type="continuationSeparator" w:id="0">
    <w:p w:rsidR="00F82113" w:rsidRDefault="00F82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13" w:rsidRDefault="00F82113" w:rsidP="003C4B4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2113" w:rsidRDefault="00F8211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2552"/>
      <w:docPartObj>
        <w:docPartGallery w:val="Page Numbers (Top of Page)"/>
        <w:docPartUnique/>
      </w:docPartObj>
    </w:sdtPr>
    <w:sdtContent>
      <w:p w:rsidR="00F82113" w:rsidRDefault="00F82113">
        <w:pPr>
          <w:pStyle w:val="a5"/>
          <w:jc w:val="center"/>
        </w:pPr>
        <w:fldSimple w:instr=" PAGE   \* MERGEFORMAT ">
          <w:r w:rsidR="00465FE6">
            <w:rPr>
              <w:noProof/>
            </w:rPr>
            <w:t>11</w:t>
          </w:r>
        </w:fldSimple>
      </w:p>
    </w:sdtContent>
  </w:sdt>
  <w:p w:rsidR="00F82113" w:rsidRDefault="00F8211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E5E"/>
    <w:multiLevelType w:val="multilevel"/>
    <w:tmpl w:val="E52ED3B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1432A4"/>
    <w:multiLevelType w:val="hybridMultilevel"/>
    <w:tmpl w:val="EAA0B566"/>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4E3587"/>
    <w:multiLevelType w:val="hybridMultilevel"/>
    <w:tmpl w:val="B9F0E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F37FE"/>
    <w:multiLevelType w:val="hybridMultilevel"/>
    <w:tmpl w:val="6040EF74"/>
    <w:lvl w:ilvl="0" w:tplc="C30404D2">
      <w:start w:val="1"/>
      <w:numFmt w:val="decimal"/>
      <w:lvlText w:val="%1."/>
      <w:lvlJc w:val="left"/>
      <w:pPr>
        <w:ind w:left="347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6D07BAD"/>
    <w:multiLevelType w:val="hybridMultilevel"/>
    <w:tmpl w:val="4C887256"/>
    <w:lvl w:ilvl="0" w:tplc="0419000D">
      <w:start w:val="1"/>
      <w:numFmt w:val="bullet"/>
      <w:lvlText w:val=""/>
      <w:lvlJc w:val="left"/>
      <w:pPr>
        <w:ind w:left="900" w:hanging="360"/>
      </w:pPr>
      <w:rPr>
        <w:rFonts w:ascii="Wingdings" w:hAnsi="Wingding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421019"/>
    <w:multiLevelType w:val="hybridMultilevel"/>
    <w:tmpl w:val="182E12CC"/>
    <w:lvl w:ilvl="0" w:tplc="5C1ADC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257585"/>
    <w:multiLevelType w:val="hybridMultilevel"/>
    <w:tmpl w:val="9FA033EA"/>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7">
    <w:nsid w:val="12AB6177"/>
    <w:multiLevelType w:val="hybridMultilevel"/>
    <w:tmpl w:val="A0B6D3C4"/>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C45493"/>
    <w:multiLevelType w:val="hybridMultilevel"/>
    <w:tmpl w:val="34D89B86"/>
    <w:lvl w:ilvl="0" w:tplc="C6D6A52A">
      <w:start w:val="1"/>
      <w:numFmt w:val="bullet"/>
      <w:lvlText w:val=""/>
      <w:lvlJc w:val="left"/>
      <w:pPr>
        <w:tabs>
          <w:tab w:val="num" w:pos="3600"/>
        </w:tabs>
        <w:ind w:left="3600" w:hanging="360"/>
      </w:pPr>
      <w:rPr>
        <w:rFonts w:ascii="Symbol" w:hAnsi="Symbol" w:hint="default"/>
      </w:rPr>
    </w:lvl>
    <w:lvl w:ilvl="1" w:tplc="2AAA023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680323"/>
    <w:multiLevelType w:val="hybridMultilevel"/>
    <w:tmpl w:val="1D7C86E8"/>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1C441614"/>
    <w:multiLevelType w:val="hybridMultilevel"/>
    <w:tmpl w:val="6D583F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0A45DC"/>
    <w:multiLevelType w:val="hybridMultilevel"/>
    <w:tmpl w:val="696A828A"/>
    <w:lvl w:ilvl="0" w:tplc="30FCBC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D8C2ADB"/>
    <w:multiLevelType w:val="hybridMultilevel"/>
    <w:tmpl w:val="9228AE1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DBB4175"/>
    <w:multiLevelType w:val="hybridMultilevel"/>
    <w:tmpl w:val="E7EA7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16B42A4"/>
    <w:multiLevelType w:val="hybridMultilevel"/>
    <w:tmpl w:val="0CD6A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000F7A"/>
    <w:multiLevelType w:val="hybridMultilevel"/>
    <w:tmpl w:val="B3ECD670"/>
    <w:lvl w:ilvl="0" w:tplc="04190011">
      <w:start w:val="2"/>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504FC2"/>
    <w:multiLevelType w:val="hybridMultilevel"/>
    <w:tmpl w:val="092C326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7">
    <w:nsid w:val="24854DEA"/>
    <w:multiLevelType w:val="hybridMultilevel"/>
    <w:tmpl w:val="9D80E5D4"/>
    <w:lvl w:ilvl="0" w:tplc="7D20C590">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6802EF3"/>
    <w:multiLevelType w:val="hybridMultilevel"/>
    <w:tmpl w:val="99EEDF08"/>
    <w:lvl w:ilvl="0" w:tplc="0DFA6B5A">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292A682B"/>
    <w:multiLevelType w:val="hybridMultilevel"/>
    <w:tmpl w:val="D370EAB2"/>
    <w:lvl w:ilvl="0" w:tplc="E27C5B60">
      <w:start w:val="60"/>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29B8243A"/>
    <w:multiLevelType w:val="hybridMultilevel"/>
    <w:tmpl w:val="F2623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D82527"/>
    <w:multiLevelType w:val="hybridMultilevel"/>
    <w:tmpl w:val="F41C5692"/>
    <w:lvl w:ilvl="0" w:tplc="8984EF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CFB56A9"/>
    <w:multiLevelType w:val="hybridMultilevel"/>
    <w:tmpl w:val="DA64D478"/>
    <w:lvl w:ilvl="0" w:tplc="31BAF2EC">
      <w:start w:val="2"/>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2D997D73"/>
    <w:multiLevelType w:val="hybridMultilevel"/>
    <w:tmpl w:val="0E44B3D0"/>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300D0E1E"/>
    <w:multiLevelType w:val="hybridMultilevel"/>
    <w:tmpl w:val="D39CC3BC"/>
    <w:lvl w:ilvl="0" w:tplc="45C60D12">
      <w:start w:val="1"/>
      <w:numFmt w:val="decimal"/>
      <w:lvlText w:val="%1."/>
      <w:lvlJc w:val="left"/>
      <w:pPr>
        <w:ind w:left="5407" w:hanging="87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25">
    <w:nsid w:val="330B6C02"/>
    <w:multiLevelType w:val="multilevel"/>
    <w:tmpl w:val="F41C569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nsid w:val="337D0385"/>
    <w:multiLevelType w:val="hybridMultilevel"/>
    <w:tmpl w:val="467A2048"/>
    <w:lvl w:ilvl="0" w:tplc="2B4211AC">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351C4254"/>
    <w:multiLevelType w:val="hybridMultilevel"/>
    <w:tmpl w:val="8E503804"/>
    <w:lvl w:ilvl="0" w:tplc="70443B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C80821"/>
    <w:multiLevelType w:val="hybridMultilevel"/>
    <w:tmpl w:val="A2948FB6"/>
    <w:lvl w:ilvl="0" w:tplc="04190001">
      <w:start w:val="1"/>
      <w:numFmt w:val="bullet"/>
      <w:lvlText w:val=""/>
      <w:lvlJc w:val="left"/>
      <w:pPr>
        <w:ind w:left="603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CB10D79"/>
    <w:multiLevelType w:val="hybridMultilevel"/>
    <w:tmpl w:val="3B8AAD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19C3EAE"/>
    <w:multiLevelType w:val="hybridMultilevel"/>
    <w:tmpl w:val="DABCDB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3904043"/>
    <w:multiLevelType w:val="hybridMultilevel"/>
    <w:tmpl w:val="5D68BB32"/>
    <w:lvl w:ilvl="0" w:tplc="1748A0D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29" w:hanging="360"/>
      </w:pPr>
      <w:rPr>
        <w:rFonts w:cs="Times New Roman"/>
      </w:rPr>
    </w:lvl>
    <w:lvl w:ilvl="2" w:tplc="0419001B" w:tentative="1">
      <w:start w:val="1"/>
      <w:numFmt w:val="lowerRoman"/>
      <w:lvlText w:val="%3."/>
      <w:lvlJc w:val="right"/>
      <w:pPr>
        <w:ind w:left="2649" w:hanging="180"/>
      </w:pPr>
      <w:rPr>
        <w:rFonts w:cs="Times New Roman"/>
      </w:rPr>
    </w:lvl>
    <w:lvl w:ilvl="3" w:tplc="0419000F" w:tentative="1">
      <w:start w:val="1"/>
      <w:numFmt w:val="decimal"/>
      <w:lvlText w:val="%4."/>
      <w:lvlJc w:val="left"/>
      <w:pPr>
        <w:ind w:left="3369" w:hanging="360"/>
      </w:pPr>
      <w:rPr>
        <w:rFonts w:cs="Times New Roman"/>
      </w:rPr>
    </w:lvl>
    <w:lvl w:ilvl="4" w:tplc="04190019" w:tentative="1">
      <w:start w:val="1"/>
      <w:numFmt w:val="lowerLetter"/>
      <w:lvlText w:val="%5."/>
      <w:lvlJc w:val="left"/>
      <w:pPr>
        <w:ind w:left="4089" w:hanging="360"/>
      </w:pPr>
      <w:rPr>
        <w:rFonts w:cs="Times New Roman"/>
      </w:rPr>
    </w:lvl>
    <w:lvl w:ilvl="5" w:tplc="0419001B" w:tentative="1">
      <w:start w:val="1"/>
      <w:numFmt w:val="lowerRoman"/>
      <w:lvlText w:val="%6."/>
      <w:lvlJc w:val="right"/>
      <w:pPr>
        <w:ind w:left="4809" w:hanging="180"/>
      </w:pPr>
      <w:rPr>
        <w:rFonts w:cs="Times New Roman"/>
      </w:rPr>
    </w:lvl>
    <w:lvl w:ilvl="6" w:tplc="0419000F" w:tentative="1">
      <w:start w:val="1"/>
      <w:numFmt w:val="decimal"/>
      <w:lvlText w:val="%7."/>
      <w:lvlJc w:val="left"/>
      <w:pPr>
        <w:ind w:left="5529" w:hanging="360"/>
      </w:pPr>
      <w:rPr>
        <w:rFonts w:cs="Times New Roman"/>
      </w:rPr>
    </w:lvl>
    <w:lvl w:ilvl="7" w:tplc="04190019" w:tentative="1">
      <w:start w:val="1"/>
      <w:numFmt w:val="lowerLetter"/>
      <w:lvlText w:val="%8."/>
      <w:lvlJc w:val="left"/>
      <w:pPr>
        <w:ind w:left="6249" w:hanging="360"/>
      </w:pPr>
      <w:rPr>
        <w:rFonts w:cs="Times New Roman"/>
      </w:rPr>
    </w:lvl>
    <w:lvl w:ilvl="8" w:tplc="0419001B" w:tentative="1">
      <w:start w:val="1"/>
      <w:numFmt w:val="lowerRoman"/>
      <w:lvlText w:val="%9."/>
      <w:lvlJc w:val="right"/>
      <w:pPr>
        <w:ind w:left="6969" w:hanging="180"/>
      </w:pPr>
      <w:rPr>
        <w:rFonts w:cs="Times New Roman"/>
      </w:rPr>
    </w:lvl>
  </w:abstractNum>
  <w:abstractNum w:abstractNumId="32">
    <w:nsid w:val="46B848AD"/>
    <w:multiLevelType w:val="hybridMultilevel"/>
    <w:tmpl w:val="C30E7C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CE1AD5"/>
    <w:multiLevelType w:val="hybridMultilevel"/>
    <w:tmpl w:val="00DC600A"/>
    <w:lvl w:ilvl="0" w:tplc="E7901B1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E8E5835"/>
    <w:multiLevelType w:val="hybridMultilevel"/>
    <w:tmpl w:val="6D5CD9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1422146"/>
    <w:multiLevelType w:val="hybridMultilevel"/>
    <w:tmpl w:val="2A243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492563"/>
    <w:multiLevelType w:val="hybridMultilevel"/>
    <w:tmpl w:val="81C2857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783753E"/>
    <w:multiLevelType w:val="hybridMultilevel"/>
    <w:tmpl w:val="B39CFCB2"/>
    <w:lvl w:ilvl="0" w:tplc="F6DE37D8">
      <w:start w:val="1"/>
      <w:numFmt w:val="decimal"/>
      <w:lvlText w:val="%1."/>
      <w:lvlJc w:val="left"/>
      <w:pPr>
        <w:ind w:left="2013"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7E95934"/>
    <w:multiLevelType w:val="hybridMultilevel"/>
    <w:tmpl w:val="345AEF6E"/>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39">
    <w:nsid w:val="5A565C61"/>
    <w:multiLevelType w:val="hybridMultilevel"/>
    <w:tmpl w:val="77CC4B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5A663D22"/>
    <w:multiLevelType w:val="hybridMultilevel"/>
    <w:tmpl w:val="F376BBB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ACE566A"/>
    <w:multiLevelType w:val="hybridMultilevel"/>
    <w:tmpl w:val="99AE22F4"/>
    <w:lvl w:ilvl="0" w:tplc="1E8ADC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5BF2146F"/>
    <w:multiLevelType w:val="hybridMultilevel"/>
    <w:tmpl w:val="1BA884A6"/>
    <w:lvl w:ilvl="0" w:tplc="8984EF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D0843BD"/>
    <w:multiLevelType w:val="hybridMultilevel"/>
    <w:tmpl w:val="F5D2FB42"/>
    <w:lvl w:ilvl="0" w:tplc="C6D6A52A">
      <w:start w:val="1"/>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C235299"/>
    <w:multiLevelType w:val="hybridMultilevel"/>
    <w:tmpl w:val="FE42F49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FC2252D"/>
    <w:multiLevelType w:val="hybridMultilevel"/>
    <w:tmpl w:val="0044A9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A74981"/>
    <w:multiLevelType w:val="hybridMultilevel"/>
    <w:tmpl w:val="CA34A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51120E"/>
    <w:multiLevelType w:val="hybridMultilevel"/>
    <w:tmpl w:val="8E980700"/>
    <w:lvl w:ilvl="0" w:tplc="CA5A722A">
      <w:start w:val="1"/>
      <w:numFmt w:val="decimal"/>
      <w:lvlText w:val="%1."/>
      <w:lvlJc w:val="left"/>
      <w:pPr>
        <w:ind w:left="1760" w:hanging="1080"/>
      </w:pPr>
      <w:rPr>
        <w:rFonts w:ascii="Times New Roman" w:eastAsia="Times New Roman" w:hAnsi="Times New Roman" w:cs="Times New Roman"/>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8">
    <w:nsid w:val="7CC60830"/>
    <w:multiLevelType w:val="hybridMultilevel"/>
    <w:tmpl w:val="878810FA"/>
    <w:lvl w:ilvl="0" w:tplc="04190001">
      <w:start w:val="1"/>
      <w:numFmt w:val="bullet"/>
      <w:lvlText w:val=""/>
      <w:lvlJc w:val="left"/>
      <w:pPr>
        <w:tabs>
          <w:tab w:val="num" w:pos="1211"/>
        </w:tabs>
        <w:ind w:left="1211" w:hanging="360"/>
      </w:pPr>
      <w:rPr>
        <w:rFonts w:ascii="Symbol" w:hAnsi="Symbol" w:hint="default"/>
      </w:rPr>
    </w:lvl>
    <w:lvl w:ilvl="1" w:tplc="B82CDE88">
      <w:start w:val="1"/>
      <w:numFmt w:val="bullet"/>
      <w:lvlText w:val=""/>
      <w:lvlJc w:val="left"/>
      <w:pPr>
        <w:tabs>
          <w:tab w:val="num" w:pos="9720"/>
        </w:tabs>
        <w:ind w:left="9720" w:hanging="360"/>
      </w:pPr>
      <w:rPr>
        <w:rFonts w:ascii="Symbol" w:hAnsi="Symbol" w:hint="default"/>
      </w:rPr>
    </w:lvl>
    <w:lvl w:ilvl="2" w:tplc="04190005" w:tentative="1">
      <w:start w:val="1"/>
      <w:numFmt w:val="bullet"/>
      <w:lvlText w:val=""/>
      <w:lvlJc w:val="left"/>
      <w:pPr>
        <w:tabs>
          <w:tab w:val="num" w:pos="10440"/>
        </w:tabs>
        <w:ind w:left="10440" w:hanging="360"/>
      </w:pPr>
      <w:rPr>
        <w:rFonts w:ascii="Wingdings" w:hAnsi="Wingdings" w:hint="default"/>
      </w:rPr>
    </w:lvl>
    <w:lvl w:ilvl="3" w:tplc="04190001" w:tentative="1">
      <w:start w:val="1"/>
      <w:numFmt w:val="bullet"/>
      <w:lvlText w:val=""/>
      <w:lvlJc w:val="left"/>
      <w:pPr>
        <w:tabs>
          <w:tab w:val="num" w:pos="11160"/>
        </w:tabs>
        <w:ind w:left="11160" w:hanging="360"/>
      </w:pPr>
      <w:rPr>
        <w:rFonts w:ascii="Symbol" w:hAnsi="Symbol" w:hint="default"/>
      </w:rPr>
    </w:lvl>
    <w:lvl w:ilvl="4" w:tplc="04190003" w:tentative="1">
      <w:start w:val="1"/>
      <w:numFmt w:val="bullet"/>
      <w:lvlText w:val="o"/>
      <w:lvlJc w:val="left"/>
      <w:pPr>
        <w:tabs>
          <w:tab w:val="num" w:pos="11880"/>
        </w:tabs>
        <w:ind w:left="11880" w:hanging="360"/>
      </w:pPr>
      <w:rPr>
        <w:rFonts w:ascii="Courier New" w:hAnsi="Courier New" w:cs="Courier New" w:hint="default"/>
      </w:rPr>
    </w:lvl>
    <w:lvl w:ilvl="5" w:tplc="04190005" w:tentative="1">
      <w:start w:val="1"/>
      <w:numFmt w:val="bullet"/>
      <w:lvlText w:val=""/>
      <w:lvlJc w:val="left"/>
      <w:pPr>
        <w:tabs>
          <w:tab w:val="num" w:pos="12600"/>
        </w:tabs>
        <w:ind w:left="12600" w:hanging="360"/>
      </w:pPr>
      <w:rPr>
        <w:rFonts w:ascii="Wingdings" w:hAnsi="Wingdings" w:hint="default"/>
      </w:rPr>
    </w:lvl>
    <w:lvl w:ilvl="6" w:tplc="04190001" w:tentative="1">
      <w:start w:val="1"/>
      <w:numFmt w:val="bullet"/>
      <w:lvlText w:val=""/>
      <w:lvlJc w:val="left"/>
      <w:pPr>
        <w:tabs>
          <w:tab w:val="num" w:pos="13320"/>
        </w:tabs>
        <w:ind w:left="13320" w:hanging="360"/>
      </w:pPr>
      <w:rPr>
        <w:rFonts w:ascii="Symbol" w:hAnsi="Symbol" w:hint="default"/>
      </w:rPr>
    </w:lvl>
    <w:lvl w:ilvl="7" w:tplc="04190003" w:tentative="1">
      <w:start w:val="1"/>
      <w:numFmt w:val="bullet"/>
      <w:lvlText w:val="o"/>
      <w:lvlJc w:val="left"/>
      <w:pPr>
        <w:tabs>
          <w:tab w:val="num" w:pos="14040"/>
        </w:tabs>
        <w:ind w:left="14040" w:hanging="360"/>
      </w:pPr>
      <w:rPr>
        <w:rFonts w:ascii="Courier New" w:hAnsi="Courier New" w:cs="Courier New" w:hint="default"/>
      </w:rPr>
    </w:lvl>
    <w:lvl w:ilvl="8" w:tplc="04190005" w:tentative="1">
      <w:start w:val="1"/>
      <w:numFmt w:val="bullet"/>
      <w:lvlText w:val=""/>
      <w:lvlJc w:val="left"/>
      <w:pPr>
        <w:tabs>
          <w:tab w:val="num" w:pos="14760"/>
        </w:tabs>
        <w:ind w:left="14760" w:hanging="360"/>
      </w:pPr>
      <w:rPr>
        <w:rFonts w:ascii="Wingdings" w:hAnsi="Wingdings" w:hint="default"/>
      </w:rPr>
    </w:lvl>
  </w:abstractNum>
  <w:abstractNum w:abstractNumId="49">
    <w:nsid w:val="7FA813E9"/>
    <w:multiLevelType w:val="multilevel"/>
    <w:tmpl w:val="F5D2FB42"/>
    <w:lvl w:ilvl="0">
      <w:start w:val="1"/>
      <w:numFmt w:val="bullet"/>
      <w:lvlText w:val=""/>
      <w:lvlJc w:val="left"/>
      <w:pPr>
        <w:tabs>
          <w:tab w:val="num" w:pos="3600"/>
        </w:tabs>
        <w:ind w:left="36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39"/>
  </w:num>
  <w:num w:numId="3">
    <w:abstractNumId w:val="43"/>
  </w:num>
  <w:num w:numId="4">
    <w:abstractNumId w:val="49"/>
  </w:num>
  <w:num w:numId="5">
    <w:abstractNumId w:val="8"/>
  </w:num>
  <w:num w:numId="6">
    <w:abstractNumId w:val="18"/>
  </w:num>
  <w:num w:numId="7">
    <w:abstractNumId w:val="11"/>
  </w:num>
  <w:num w:numId="8">
    <w:abstractNumId w:val="15"/>
  </w:num>
  <w:num w:numId="9">
    <w:abstractNumId w:val="2"/>
  </w:num>
  <w:num w:numId="10">
    <w:abstractNumId w:val="46"/>
  </w:num>
  <w:num w:numId="11">
    <w:abstractNumId w:val="1"/>
  </w:num>
  <w:num w:numId="12">
    <w:abstractNumId w:val="13"/>
  </w:num>
  <w:num w:numId="13">
    <w:abstractNumId w:val="42"/>
  </w:num>
  <w:num w:numId="14">
    <w:abstractNumId w:val="21"/>
  </w:num>
  <w:num w:numId="15">
    <w:abstractNumId w:val="25"/>
  </w:num>
  <w:num w:numId="16">
    <w:abstractNumId w:val="40"/>
  </w:num>
  <w:num w:numId="17">
    <w:abstractNumId w:val="38"/>
  </w:num>
  <w:num w:numId="18">
    <w:abstractNumId w:val="9"/>
  </w:num>
  <w:num w:numId="19">
    <w:abstractNumId w:val="44"/>
  </w:num>
  <w:num w:numId="20">
    <w:abstractNumId w:val="28"/>
  </w:num>
  <w:num w:numId="21">
    <w:abstractNumId w:val="12"/>
  </w:num>
  <w:num w:numId="22">
    <w:abstractNumId w:val="10"/>
  </w:num>
  <w:num w:numId="23">
    <w:abstractNumId w:val="19"/>
  </w:num>
  <w:num w:numId="24">
    <w:abstractNumId w:val="14"/>
  </w:num>
  <w:num w:numId="25">
    <w:abstractNumId w:val="35"/>
  </w:num>
  <w:num w:numId="26">
    <w:abstractNumId w:val="41"/>
  </w:num>
  <w:num w:numId="27">
    <w:abstractNumId w:val="32"/>
  </w:num>
  <w:num w:numId="28">
    <w:abstractNumId w:val="6"/>
  </w:num>
  <w:num w:numId="29">
    <w:abstractNumId w:val="3"/>
  </w:num>
  <w:num w:numId="30">
    <w:abstractNumId w:val="24"/>
  </w:num>
  <w:num w:numId="31">
    <w:abstractNumId w:val="27"/>
  </w:num>
  <w:num w:numId="32">
    <w:abstractNumId w:val="0"/>
  </w:num>
  <w:num w:numId="33">
    <w:abstractNumId w:val="22"/>
  </w:num>
  <w:num w:numId="34">
    <w:abstractNumId w:val="20"/>
  </w:num>
  <w:num w:numId="35">
    <w:abstractNumId w:val="26"/>
  </w:num>
  <w:num w:numId="36">
    <w:abstractNumId w:val="45"/>
  </w:num>
  <w:num w:numId="37">
    <w:abstractNumId w:val="29"/>
  </w:num>
  <w:num w:numId="38">
    <w:abstractNumId w:val="17"/>
  </w:num>
  <w:num w:numId="39">
    <w:abstractNumId w:val="16"/>
  </w:num>
  <w:num w:numId="40">
    <w:abstractNumId w:val="33"/>
  </w:num>
  <w:num w:numId="41">
    <w:abstractNumId w:val="23"/>
  </w:num>
  <w:num w:numId="42">
    <w:abstractNumId w:val="30"/>
  </w:num>
  <w:num w:numId="43">
    <w:abstractNumId w:val="34"/>
  </w:num>
  <w:num w:numId="44">
    <w:abstractNumId w:val="31"/>
  </w:num>
  <w:num w:numId="45">
    <w:abstractNumId w:val="4"/>
  </w:num>
  <w:num w:numId="46">
    <w:abstractNumId w:val="36"/>
  </w:num>
  <w:num w:numId="47">
    <w:abstractNumId w:val="5"/>
  </w:num>
  <w:num w:numId="48">
    <w:abstractNumId w:val="37"/>
  </w:num>
  <w:num w:numId="49">
    <w:abstractNumId w:val="7"/>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efaultTabStop w:val="709"/>
  <w:drawingGridHorizontalSpacing w:val="120"/>
  <w:displayHorizontalDrawingGridEvery w:val="2"/>
  <w:displayVerticalDrawingGridEvery w:val="2"/>
  <w:characterSpacingControl w:val="doNotCompress"/>
  <w:hdrShapeDefaults>
    <o:shapedefaults v:ext="edit" spidmax="54273"/>
  </w:hdrShapeDefaults>
  <w:footnotePr>
    <w:footnote w:id="-1"/>
    <w:footnote w:id="0"/>
  </w:footnotePr>
  <w:endnotePr>
    <w:endnote w:id="-1"/>
    <w:endnote w:id="0"/>
  </w:endnotePr>
  <w:compat/>
  <w:rsids>
    <w:rsidRoot w:val="003C4B45"/>
    <w:rsid w:val="00000715"/>
    <w:rsid w:val="00002C95"/>
    <w:rsid w:val="00002CA9"/>
    <w:rsid w:val="0000338C"/>
    <w:rsid w:val="00003CF4"/>
    <w:rsid w:val="00004303"/>
    <w:rsid w:val="0000551C"/>
    <w:rsid w:val="00005CF2"/>
    <w:rsid w:val="00005E77"/>
    <w:rsid w:val="00005FFE"/>
    <w:rsid w:val="000104EF"/>
    <w:rsid w:val="00010858"/>
    <w:rsid w:val="00011781"/>
    <w:rsid w:val="00012B9B"/>
    <w:rsid w:val="00014121"/>
    <w:rsid w:val="000150EA"/>
    <w:rsid w:val="000158A8"/>
    <w:rsid w:val="0002163A"/>
    <w:rsid w:val="00023E49"/>
    <w:rsid w:val="00024B68"/>
    <w:rsid w:val="0002547D"/>
    <w:rsid w:val="00025730"/>
    <w:rsid w:val="0002642F"/>
    <w:rsid w:val="0002698A"/>
    <w:rsid w:val="0003276F"/>
    <w:rsid w:val="000332F7"/>
    <w:rsid w:val="00034044"/>
    <w:rsid w:val="00034762"/>
    <w:rsid w:val="000350D6"/>
    <w:rsid w:val="00041754"/>
    <w:rsid w:val="00041C6D"/>
    <w:rsid w:val="0004487A"/>
    <w:rsid w:val="0004530F"/>
    <w:rsid w:val="0004783E"/>
    <w:rsid w:val="000518EC"/>
    <w:rsid w:val="000519C0"/>
    <w:rsid w:val="00052F0A"/>
    <w:rsid w:val="00052F9F"/>
    <w:rsid w:val="000535BC"/>
    <w:rsid w:val="00054AC7"/>
    <w:rsid w:val="00055997"/>
    <w:rsid w:val="00055B0D"/>
    <w:rsid w:val="00056616"/>
    <w:rsid w:val="00056AE1"/>
    <w:rsid w:val="000571DB"/>
    <w:rsid w:val="00060B86"/>
    <w:rsid w:val="00061746"/>
    <w:rsid w:val="000617D5"/>
    <w:rsid w:val="00061BC7"/>
    <w:rsid w:val="00061EFE"/>
    <w:rsid w:val="00061F5E"/>
    <w:rsid w:val="00063068"/>
    <w:rsid w:val="00064856"/>
    <w:rsid w:val="000660BD"/>
    <w:rsid w:val="00070063"/>
    <w:rsid w:val="00070829"/>
    <w:rsid w:val="00070E1A"/>
    <w:rsid w:val="000711B4"/>
    <w:rsid w:val="00074212"/>
    <w:rsid w:val="00075594"/>
    <w:rsid w:val="00076D2D"/>
    <w:rsid w:val="00076DBB"/>
    <w:rsid w:val="0007714E"/>
    <w:rsid w:val="000810EE"/>
    <w:rsid w:val="0008471E"/>
    <w:rsid w:val="00084758"/>
    <w:rsid w:val="000852C7"/>
    <w:rsid w:val="0008552A"/>
    <w:rsid w:val="000855DD"/>
    <w:rsid w:val="0008695B"/>
    <w:rsid w:val="00091D55"/>
    <w:rsid w:val="00092A50"/>
    <w:rsid w:val="00093352"/>
    <w:rsid w:val="00094846"/>
    <w:rsid w:val="00094F57"/>
    <w:rsid w:val="000954E2"/>
    <w:rsid w:val="00095DC2"/>
    <w:rsid w:val="000961B4"/>
    <w:rsid w:val="00096297"/>
    <w:rsid w:val="000966C2"/>
    <w:rsid w:val="000969D1"/>
    <w:rsid w:val="00097687"/>
    <w:rsid w:val="000A056E"/>
    <w:rsid w:val="000A064E"/>
    <w:rsid w:val="000A2B7B"/>
    <w:rsid w:val="000A40E4"/>
    <w:rsid w:val="000A79E2"/>
    <w:rsid w:val="000B0ABA"/>
    <w:rsid w:val="000B150F"/>
    <w:rsid w:val="000B2D27"/>
    <w:rsid w:val="000B3985"/>
    <w:rsid w:val="000B3E6C"/>
    <w:rsid w:val="000B49FE"/>
    <w:rsid w:val="000B5587"/>
    <w:rsid w:val="000B740A"/>
    <w:rsid w:val="000C038C"/>
    <w:rsid w:val="000C0E1F"/>
    <w:rsid w:val="000C0ED8"/>
    <w:rsid w:val="000C280B"/>
    <w:rsid w:val="000C3899"/>
    <w:rsid w:val="000C42E5"/>
    <w:rsid w:val="000C4419"/>
    <w:rsid w:val="000C4953"/>
    <w:rsid w:val="000C5051"/>
    <w:rsid w:val="000D0CE4"/>
    <w:rsid w:val="000D18A1"/>
    <w:rsid w:val="000D3579"/>
    <w:rsid w:val="000D3B56"/>
    <w:rsid w:val="000D4903"/>
    <w:rsid w:val="000D5EB4"/>
    <w:rsid w:val="000D6F73"/>
    <w:rsid w:val="000D7C54"/>
    <w:rsid w:val="000D7F8B"/>
    <w:rsid w:val="000E031F"/>
    <w:rsid w:val="000E1BFB"/>
    <w:rsid w:val="000E245F"/>
    <w:rsid w:val="000E4A23"/>
    <w:rsid w:val="000E4BF5"/>
    <w:rsid w:val="000E5A77"/>
    <w:rsid w:val="000E5FA5"/>
    <w:rsid w:val="000E7D8A"/>
    <w:rsid w:val="000E7E71"/>
    <w:rsid w:val="000E7EC1"/>
    <w:rsid w:val="000F373D"/>
    <w:rsid w:val="000F56E5"/>
    <w:rsid w:val="000F7EC2"/>
    <w:rsid w:val="0010089B"/>
    <w:rsid w:val="00101AB1"/>
    <w:rsid w:val="00101F87"/>
    <w:rsid w:val="00102728"/>
    <w:rsid w:val="00103A8B"/>
    <w:rsid w:val="00103BFA"/>
    <w:rsid w:val="00103C92"/>
    <w:rsid w:val="00103E6F"/>
    <w:rsid w:val="00104B91"/>
    <w:rsid w:val="001054B8"/>
    <w:rsid w:val="00110521"/>
    <w:rsid w:val="001109BF"/>
    <w:rsid w:val="0011194E"/>
    <w:rsid w:val="0011229D"/>
    <w:rsid w:val="00112C8F"/>
    <w:rsid w:val="0011629B"/>
    <w:rsid w:val="00116AB1"/>
    <w:rsid w:val="00117D0B"/>
    <w:rsid w:val="00121BCD"/>
    <w:rsid w:val="0012228A"/>
    <w:rsid w:val="00122640"/>
    <w:rsid w:val="001242CF"/>
    <w:rsid w:val="001249F2"/>
    <w:rsid w:val="001251C6"/>
    <w:rsid w:val="00130740"/>
    <w:rsid w:val="001309F1"/>
    <w:rsid w:val="00130ABD"/>
    <w:rsid w:val="00130DFB"/>
    <w:rsid w:val="00132A27"/>
    <w:rsid w:val="00133AC6"/>
    <w:rsid w:val="00137629"/>
    <w:rsid w:val="00137BA3"/>
    <w:rsid w:val="00140373"/>
    <w:rsid w:val="00140E80"/>
    <w:rsid w:val="00141E7F"/>
    <w:rsid w:val="00146678"/>
    <w:rsid w:val="001469F0"/>
    <w:rsid w:val="001473C7"/>
    <w:rsid w:val="0014764C"/>
    <w:rsid w:val="00150701"/>
    <w:rsid w:val="00150943"/>
    <w:rsid w:val="00150C95"/>
    <w:rsid w:val="00152548"/>
    <w:rsid w:val="00153C15"/>
    <w:rsid w:val="00157BE7"/>
    <w:rsid w:val="0016119F"/>
    <w:rsid w:val="001625C6"/>
    <w:rsid w:val="00162E6D"/>
    <w:rsid w:val="00163299"/>
    <w:rsid w:val="00163AD7"/>
    <w:rsid w:val="00163EFF"/>
    <w:rsid w:val="00164CB4"/>
    <w:rsid w:val="00165103"/>
    <w:rsid w:val="00166169"/>
    <w:rsid w:val="001700C0"/>
    <w:rsid w:val="00170F10"/>
    <w:rsid w:val="00170F7D"/>
    <w:rsid w:val="00171099"/>
    <w:rsid w:val="00171256"/>
    <w:rsid w:val="001712BA"/>
    <w:rsid w:val="00171674"/>
    <w:rsid w:val="00171908"/>
    <w:rsid w:val="00171EE3"/>
    <w:rsid w:val="0017228E"/>
    <w:rsid w:val="00172462"/>
    <w:rsid w:val="001737FC"/>
    <w:rsid w:val="00176CA0"/>
    <w:rsid w:val="0017703B"/>
    <w:rsid w:val="00181DFF"/>
    <w:rsid w:val="001829E6"/>
    <w:rsid w:val="00185E25"/>
    <w:rsid w:val="00187C96"/>
    <w:rsid w:val="001901EB"/>
    <w:rsid w:val="00193462"/>
    <w:rsid w:val="001948C3"/>
    <w:rsid w:val="00194DFF"/>
    <w:rsid w:val="0019638E"/>
    <w:rsid w:val="00196F86"/>
    <w:rsid w:val="001976BC"/>
    <w:rsid w:val="00197DB1"/>
    <w:rsid w:val="001A0C85"/>
    <w:rsid w:val="001A312D"/>
    <w:rsid w:val="001A3D3B"/>
    <w:rsid w:val="001A42A4"/>
    <w:rsid w:val="001A443E"/>
    <w:rsid w:val="001A57CB"/>
    <w:rsid w:val="001A6CA5"/>
    <w:rsid w:val="001B07F2"/>
    <w:rsid w:val="001B0F76"/>
    <w:rsid w:val="001B1636"/>
    <w:rsid w:val="001B1DF8"/>
    <w:rsid w:val="001B24E7"/>
    <w:rsid w:val="001B26C3"/>
    <w:rsid w:val="001B298E"/>
    <w:rsid w:val="001B5641"/>
    <w:rsid w:val="001B6922"/>
    <w:rsid w:val="001B6BD2"/>
    <w:rsid w:val="001B6D24"/>
    <w:rsid w:val="001B70F1"/>
    <w:rsid w:val="001B74F2"/>
    <w:rsid w:val="001C0FC3"/>
    <w:rsid w:val="001C138C"/>
    <w:rsid w:val="001C35AE"/>
    <w:rsid w:val="001C42B1"/>
    <w:rsid w:val="001C50B8"/>
    <w:rsid w:val="001C5DED"/>
    <w:rsid w:val="001C623B"/>
    <w:rsid w:val="001C6FD7"/>
    <w:rsid w:val="001D15D2"/>
    <w:rsid w:val="001D2628"/>
    <w:rsid w:val="001D305A"/>
    <w:rsid w:val="001D30F7"/>
    <w:rsid w:val="001D3F26"/>
    <w:rsid w:val="001D4395"/>
    <w:rsid w:val="001D4500"/>
    <w:rsid w:val="001D4610"/>
    <w:rsid w:val="001D603D"/>
    <w:rsid w:val="001D6211"/>
    <w:rsid w:val="001E06DD"/>
    <w:rsid w:val="001E1794"/>
    <w:rsid w:val="001E1EF8"/>
    <w:rsid w:val="001E4866"/>
    <w:rsid w:val="001E51EA"/>
    <w:rsid w:val="001E6892"/>
    <w:rsid w:val="001E6E49"/>
    <w:rsid w:val="001F0A36"/>
    <w:rsid w:val="001F1B6A"/>
    <w:rsid w:val="001F222D"/>
    <w:rsid w:val="001F3BD4"/>
    <w:rsid w:val="001F3E88"/>
    <w:rsid w:val="001F41B6"/>
    <w:rsid w:val="001F45A2"/>
    <w:rsid w:val="001F461E"/>
    <w:rsid w:val="001F5088"/>
    <w:rsid w:val="001F73ED"/>
    <w:rsid w:val="002014BE"/>
    <w:rsid w:val="00201DC9"/>
    <w:rsid w:val="00202023"/>
    <w:rsid w:val="00202BA5"/>
    <w:rsid w:val="00203F7C"/>
    <w:rsid w:val="00205155"/>
    <w:rsid w:val="00205302"/>
    <w:rsid w:val="00206490"/>
    <w:rsid w:val="0020757E"/>
    <w:rsid w:val="00210A83"/>
    <w:rsid w:val="00212DAD"/>
    <w:rsid w:val="00213C9D"/>
    <w:rsid w:val="00214103"/>
    <w:rsid w:val="002160E5"/>
    <w:rsid w:val="00216A6E"/>
    <w:rsid w:val="002172E3"/>
    <w:rsid w:val="0021753D"/>
    <w:rsid w:val="00217D9F"/>
    <w:rsid w:val="00222214"/>
    <w:rsid w:val="00222DFA"/>
    <w:rsid w:val="00222E49"/>
    <w:rsid w:val="00223BD5"/>
    <w:rsid w:val="00224338"/>
    <w:rsid w:val="00225468"/>
    <w:rsid w:val="002269E2"/>
    <w:rsid w:val="00227BFC"/>
    <w:rsid w:val="00230396"/>
    <w:rsid w:val="00230A4E"/>
    <w:rsid w:val="00232E4C"/>
    <w:rsid w:val="00232F95"/>
    <w:rsid w:val="002364D4"/>
    <w:rsid w:val="00236B00"/>
    <w:rsid w:val="00237C5C"/>
    <w:rsid w:val="00237F66"/>
    <w:rsid w:val="00241C69"/>
    <w:rsid w:val="0024391E"/>
    <w:rsid w:val="002517C3"/>
    <w:rsid w:val="00253B2C"/>
    <w:rsid w:val="00253F60"/>
    <w:rsid w:val="00254959"/>
    <w:rsid w:val="00256655"/>
    <w:rsid w:val="002579AB"/>
    <w:rsid w:val="002579F8"/>
    <w:rsid w:val="00257AA7"/>
    <w:rsid w:val="00260419"/>
    <w:rsid w:val="0026151E"/>
    <w:rsid w:val="002645BB"/>
    <w:rsid w:val="00264AAE"/>
    <w:rsid w:val="00264BD7"/>
    <w:rsid w:val="00264EF6"/>
    <w:rsid w:val="0026544E"/>
    <w:rsid w:val="00265FA3"/>
    <w:rsid w:val="00266681"/>
    <w:rsid w:val="002672F0"/>
    <w:rsid w:val="00267C68"/>
    <w:rsid w:val="0027344B"/>
    <w:rsid w:val="0027463B"/>
    <w:rsid w:val="00280425"/>
    <w:rsid w:val="00282995"/>
    <w:rsid w:val="002829B6"/>
    <w:rsid w:val="002830F4"/>
    <w:rsid w:val="00284195"/>
    <w:rsid w:val="00284C34"/>
    <w:rsid w:val="00284DAC"/>
    <w:rsid w:val="002864D7"/>
    <w:rsid w:val="00291500"/>
    <w:rsid w:val="0029185B"/>
    <w:rsid w:val="00291E59"/>
    <w:rsid w:val="00292ACC"/>
    <w:rsid w:val="00294262"/>
    <w:rsid w:val="00295825"/>
    <w:rsid w:val="00296A8C"/>
    <w:rsid w:val="00296C54"/>
    <w:rsid w:val="002A0838"/>
    <w:rsid w:val="002A0D7E"/>
    <w:rsid w:val="002A1482"/>
    <w:rsid w:val="002A1A63"/>
    <w:rsid w:val="002A2343"/>
    <w:rsid w:val="002A4288"/>
    <w:rsid w:val="002A6C7D"/>
    <w:rsid w:val="002A76D3"/>
    <w:rsid w:val="002B0DA5"/>
    <w:rsid w:val="002B1D2A"/>
    <w:rsid w:val="002B2ABC"/>
    <w:rsid w:val="002B6155"/>
    <w:rsid w:val="002B6294"/>
    <w:rsid w:val="002B7BA1"/>
    <w:rsid w:val="002B7CCA"/>
    <w:rsid w:val="002C0D69"/>
    <w:rsid w:val="002C115C"/>
    <w:rsid w:val="002C1DD1"/>
    <w:rsid w:val="002C28E2"/>
    <w:rsid w:val="002C37B3"/>
    <w:rsid w:val="002C4EFA"/>
    <w:rsid w:val="002C5A81"/>
    <w:rsid w:val="002C66D2"/>
    <w:rsid w:val="002D00E7"/>
    <w:rsid w:val="002D0BB8"/>
    <w:rsid w:val="002D12BC"/>
    <w:rsid w:val="002D14F5"/>
    <w:rsid w:val="002D1DB9"/>
    <w:rsid w:val="002D364F"/>
    <w:rsid w:val="002D3F5A"/>
    <w:rsid w:val="002D41D7"/>
    <w:rsid w:val="002D4BA8"/>
    <w:rsid w:val="002D4FBC"/>
    <w:rsid w:val="002D5566"/>
    <w:rsid w:val="002D5CEE"/>
    <w:rsid w:val="002E2507"/>
    <w:rsid w:val="002E34C1"/>
    <w:rsid w:val="002E426E"/>
    <w:rsid w:val="002E6D89"/>
    <w:rsid w:val="002E7655"/>
    <w:rsid w:val="002F1479"/>
    <w:rsid w:val="002F2691"/>
    <w:rsid w:val="002F7307"/>
    <w:rsid w:val="002F777E"/>
    <w:rsid w:val="002F7E2B"/>
    <w:rsid w:val="00300C19"/>
    <w:rsid w:val="00302CB8"/>
    <w:rsid w:val="00302F8A"/>
    <w:rsid w:val="0030393E"/>
    <w:rsid w:val="003064D4"/>
    <w:rsid w:val="00307EB6"/>
    <w:rsid w:val="003115FA"/>
    <w:rsid w:val="00312E8E"/>
    <w:rsid w:val="00313504"/>
    <w:rsid w:val="00314C29"/>
    <w:rsid w:val="00320EEA"/>
    <w:rsid w:val="003226E3"/>
    <w:rsid w:val="003228D6"/>
    <w:rsid w:val="003233B9"/>
    <w:rsid w:val="003239C0"/>
    <w:rsid w:val="00323E96"/>
    <w:rsid w:val="0032477F"/>
    <w:rsid w:val="0032514F"/>
    <w:rsid w:val="0033139D"/>
    <w:rsid w:val="00331652"/>
    <w:rsid w:val="0033243C"/>
    <w:rsid w:val="00332BD1"/>
    <w:rsid w:val="003330A3"/>
    <w:rsid w:val="003335F5"/>
    <w:rsid w:val="003340C2"/>
    <w:rsid w:val="003342BA"/>
    <w:rsid w:val="0033701D"/>
    <w:rsid w:val="00340500"/>
    <w:rsid w:val="00341640"/>
    <w:rsid w:val="0034216B"/>
    <w:rsid w:val="003429ED"/>
    <w:rsid w:val="003430F2"/>
    <w:rsid w:val="00343123"/>
    <w:rsid w:val="00343729"/>
    <w:rsid w:val="00343D1C"/>
    <w:rsid w:val="00347592"/>
    <w:rsid w:val="00350A37"/>
    <w:rsid w:val="00351D95"/>
    <w:rsid w:val="00352682"/>
    <w:rsid w:val="00354551"/>
    <w:rsid w:val="00354E77"/>
    <w:rsid w:val="00355721"/>
    <w:rsid w:val="0035617D"/>
    <w:rsid w:val="00356F2A"/>
    <w:rsid w:val="0035760A"/>
    <w:rsid w:val="003611DF"/>
    <w:rsid w:val="0036138F"/>
    <w:rsid w:val="003616F6"/>
    <w:rsid w:val="00362BF3"/>
    <w:rsid w:val="00363BDA"/>
    <w:rsid w:val="003662E4"/>
    <w:rsid w:val="00367022"/>
    <w:rsid w:val="00370D26"/>
    <w:rsid w:val="00371965"/>
    <w:rsid w:val="003734E6"/>
    <w:rsid w:val="00373C3A"/>
    <w:rsid w:val="00374AFA"/>
    <w:rsid w:val="00374E37"/>
    <w:rsid w:val="0037545F"/>
    <w:rsid w:val="003763FE"/>
    <w:rsid w:val="00376979"/>
    <w:rsid w:val="00377182"/>
    <w:rsid w:val="003801B3"/>
    <w:rsid w:val="0038693A"/>
    <w:rsid w:val="00386B29"/>
    <w:rsid w:val="00386CC9"/>
    <w:rsid w:val="00391A3B"/>
    <w:rsid w:val="00391EB0"/>
    <w:rsid w:val="003946EF"/>
    <w:rsid w:val="003964F6"/>
    <w:rsid w:val="00396931"/>
    <w:rsid w:val="00397201"/>
    <w:rsid w:val="00397550"/>
    <w:rsid w:val="003A02D3"/>
    <w:rsid w:val="003A170B"/>
    <w:rsid w:val="003A2BA4"/>
    <w:rsid w:val="003A31F8"/>
    <w:rsid w:val="003A394A"/>
    <w:rsid w:val="003A40A2"/>
    <w:rsid w:val="003A4966"/>
    <w:rsid w:val="003A6BB9"/>
    <w:rsid w:val="003A70F1"/>
    <w:rsid w:val="003A7147"/>
    <w:rsid w:val="003B0980"/>
    <w:rsid w:val="003B1B8F"/>
    <w:rsid w:val="003B24EC"/>
    <w:rsid w:val="003B5037"/>
    <w:rsid w:val="003B5C38"/>
    <w:rsid w:val="003B6383"/>
    <w:rsid w:val="003B65AD"/>
    <w:rsid w:val="003B6A77"/>
    <w:rsid w:val="003B6C51"/>
    <w:rsid w:val="003B6EB8"/>
    <w:rsid w:val="003B6FF3"/>
    <w:rsid w:val="003B75BC"/>
    <w:rsid w:val="003B7D35"/>
    <w:rsid w:val="003C0A71"/>
    <w:rsid w:val="003C0BD5"/>
    <w:rsid w:val="003C1485"/>
    <w:rsid w:val="003C3C1B"/>
    <w:rsid w:val="003C4B3C"/>
    <w:rsid w:val="003C4B45"/>
    <w:rsid w:val="003C4D67"/>
    <w:rsid w:val="003C6753"/>
    <w:rsid w:val="003C78B4"/>
    <w:rsid w:val="003D02FB"/>
    <w:rsid w:val="003D04ED"/>
    <w:rsid w:val="003D0CB2"/>
    <w:rsid w:val="003D2C3A"/>
    <w:rsid w:val="003D372A"/>
    <w:rsid w:val="003D4B3A"/>
    <w:rsid w:val="003D4EBB"/>
    <w:rsid w:val="003D5AFD"/>
    <w:rsid w:val="003D7B58"/>
    <w:rsid w:val="003D7EDA"/>
    <w:rsid w:val="003E01B3"/>
    <w:rsid w:val="003E0603"/>
    <w:rsid w:val="003E1718"/>
    <w:rsid w:val="003E1BFD"/>
    <w:rsid w:val="003E3929"/>
    <w:rsid w:val="003E4569"/>
    <w:rsid w:val="003E4652"/>
    <w:rsid w:val="003E4935"/>
    <w:rsid w:val="003E4955"/>
    <w:rsid w:val="003E5028"/>
    <w:rsid w:val="003E52C1"/>
    <w:rsid w:val="003E6487"/>
    <w:rsid w:val="003E6E98"/>
    <w:rsid w:val="003F369E"/>
    <w:rsid w:val="003F3F4E"/>
    <w:rsid w:val="003F43CF"/>
    <w:rsid w:val="003F4C63"/>
    <w:rsid w:val="003F6650"/>
    <w:rsid w:val="003F6760"/>
    <w:rsid w:val="003F7CB6"/>
    <w:rsid w:val="004015F5"/>
    <w:rsid w:val="00402DC1"/>
    <w:rsid w:val="0040484C"/>
    <w:rsid w:val="00406237"/>
    <w:rsid w:val="00406346"/>
    <w:rsid w:val="004065A3"/>
    <w:rsid w:val="00406A84"/>
    <w:rsid w:val="00407D48"/>
    <w:rsid w:val="00407D69"/>
    <w:rsid w:val="00407FC1"/>
    <w:rsid w:val="00413048"/>
    <w:rsid w:val="0041433A"/>
    <w:rsid w:val="004150B3"/>
    <w:rsid w:val="004170DE"/>
    <w:rsid w:val="00417AA8"/>
    <w:rsid w:val="00421CB6"/>
    <w:rsid w:val="0042280D"/>
    <w:rsid w:val="004228B8"/>
    <w:rsid w:val="0042304D"/>
    <w:rsid w:val="00423311"/>
    <w:rsid w:val="00423EE8"/>
    <w:rsid w:val="004246B6"/>
    <w:rsid w:val="00425465"/>
    <w:rsid w:val="0042653E"/>
    <w:rsid w:val="004302E5"/>
    <w:rsid w:val="00430867"/>
    <w:rsid w:val="00431E63"/>
    <w:rsid w:val="004325EC"/>
    <w:rsid w:val="00434024"/>
    <w:rsid w:val="00434263"/>
    <w:rsid w:val="00434289"/>
    <w:rsid w:val="004357C6"/>
    <w:rsid w:val="0043669C"/>
    <w:rsid w:val="00436FE1"/>
    <w:rsid w:val="00437A61"/>
    <w:rsid w:val="00440CAD"/>
    <w:rsid w:val="004410A2"/>
    <w:rsid w:val="00442D61"/>
    <w:rsid w:val="00443C09"/>
    <w:rsid w:val="00444018"/>
    <w:rsid w:val="00446A8C"/>
    <w:rsid w:val="00452212"/>
    <w:rsid w:val="00452316"/>
    <w:rsid w:val="00454083"/>
    <w:rsid w:val="00454890"/>
    <w:rsid w:val="00455263"/>
    <w:rsid w:val="004558CF"/>
    <w:rsid w:val="004570EC"/>
    <w:rsid w:val="00457406"/>
    <w:rsid w:val="0045760B"/>
    <w:rsid w:val="00460104"/>
    <w:rsid w:val="00460F54"/>
    <w:rsid w:val="0046103C"/>
    <w:rsid w:val="0046394A"/>
    <w:rsid w:val="00463D85"/>
    <w:rsid w:val="004648C4"/>
    <w:rsid w:val="00464986"/>
    <w:rsid w:val="00464AD4"/>
    <w:rsid w:val="004659BC"/>
    <w:rsid w:val="00465FE6"/>
    <w:rsid w:val="004661C5"/>
    <w:rsid w:val="00466505"/>
    <w:rsid w:val="00466CE1"/>
    <w:rsid w:val="00466F91"/>
    <w:rsid w:val="00467096"/>
    <w:rsid w:val="00467689"/>
    <w:rsid w:val="004677E4"/>
    <w:rsid w:val="00470E9F"/>
    <w:rsid w:val="00472265"/>
    <w:rsid w:val="004722FD"/>
    <w:rsid w:val="00473173"/>
    <w:rsid w:val="00475DE6"/>
    <w:rsid w:val="00477F29"/>
    <w:rsid w:val="00480338"/>
    <w:rsid w:val="00482271"/>
    <w:rsid w:val="0048274C"/>
    <w:rsid w:val="004841E9"/>
    <w:rsid w:val="00484B75"/>
    <w:rsid w:val="004869FC"/>
    <w:rsid w:val="00487505"/>
    <w:rsid w:val="00493DC6"/>
    <w:rsid w:val="00495C9A"/>
    <w:rsid w:val="004965B0"/>
    <w:rsid w:val="004978E8"/>
    <w:rsid w:val="004A0557"/>
    <w:rsid w:val="004A1087"/>
    <w:rsid w:val="004A1465"/>
    <w:rsid w:val="004A22FD"/>
    <w:rsid w:val="004A3481"/>
    <w:rsid w:val="004A5235"/>
    <w:rsid w:val="004A5434"/>
    <w:rsid w:val="004A5707"/>
    <w:rsid w:val="004A5766"/>
    <w:rsid w:val="004A670F"/>
    <w:rsid w:val="004A6BEC"/>
    <w:rsid w:val="004B03DB"/>
    <w:rsid w:val="004B13A8"/>
    <w:rsid w:val="004B1E99"/>
    <w:rsid w:val="004B2FDE"/>
    <w:rsid w:val="004B3B6C"/>
    <w:rsid w:val="004B4766"/>
    <w:rsid w:val="004B47C9"/>
    <w:rsid w:val="004B505E"/>
    <w:rsid w:val="004B53DC"/>
    <w:rsid w:val="004B6D5C"/>
    <w:rsid w:val="004B6F03"/>
    <w:rsid w:val="004C2418"/>
    <w:rsid w:val="004C2A9B"/>
    <w:rsid w:val="004C4C84"/>
    <w:rsid w:val="004C5297"/>
    <w:rsid w:val="004C6A2C"/>
    <w:rsid w:val="004C7213"/>
    <w:rsid w:val="004D1639"/>
    <w:rsid w:val="004D2115"/>
    <w:rsid w:val="004D3704"/>
    <w:rsid w:val="004D4BEE"/>
    <w:rsid w:val="004D5B37"/>
    <w:rsid w:val="004D5B94"/>
    <w:rsid w:val="004D5D5B"/>
    <w:rsid w:val="004D6715"/>
    <w:rsid w:val="004E32B2"/>
    <w:rsid w:val="004E4508"/>
    <w:rsid w:val="004E4874"/>
    <w:rsid w:val="004E4C54"/>
    <w:rsid w:val="004E4F11"/>
    <w:rsid w:val="004E5096"/>
    <w:rsid w:val="004E50CB"/>
    <w:rsid w:val="004E554D"/>
    <w:rsid w:val="004E72B8"/>
    <w:rsid w:val="004F01F8"/>
    <w:rsid w:val="004F0E63"/>
    <w:rsid w:val="004F11D0"/>
    <w:rsid w:val="004F2427"/>
    <w:rsid w:val="004F2891"/>
    <w:rsid w:val="004F3FD4"/>
    <w:rsid w:val="004F4267"/>
    <w:rsid w:val="004F5674"/>
    <w:rsid w:val="004F6744"/>
    <w:rsid w:val="004F6B94"/>
    <w:rsid w:val="004F6C89"/>
    <w:rsid w:val="004F76E2"/>
    <w:rsid w:val="004F7C42"/>
    <w:rsid w:val="00501C98"/>
    <w:rsid w:val="00502699"/>
    <w:rsid w:val="00502FDD"/>
    <w:rsid w:val="005036AC"/>
    <w:rsid w:val="00503745"/>
    <w:rsid w:val="00505544"/>
    <w:rsid w:val="005064D0"/>
    <w:rsid w:val="0050736E"/>
    <w:rsid w:val="00507DF6"/>
    <w:rsid w:val="00510B56"/>
    <w:rsid w:val="00512F3B"/>
    <w:rsid w:val="0051437D"/>
    <w:rsid w:val="00514663"/>
    <w:rsid w:val="005157EB"/>
    <w:rsid w:val="00515F78"/>
    <w:rsid w:val="00516A28"/>
    <w:rsid w:val="00517534"/>
    <w:rsid w:val="00517B5C"/>
    <w:rsid w:val="005202FA"/>
    <w:rsid w:val="00521058"/>
    <w:rsid w:val="0052264A"/>
    <w:rsid w:val="005227DB"/>
    <w:rsid w:val="005228E4"/>
    <w:rsid w:val="00524F49"/>
    <w:rsid w:val="00526376"/>
    <w:rsid w:val="0052692A"/>
    <w:rsid w:val="00526E22"/>
    <w:rsid w:val="0052758B"/>
    <w:rsid w:val="0053099C"/>
    <w:rsid w:val="00531872"/>
    <w:rsid w:val="00532EF4"/>
    <w:rsid w:val="005346F5"/>
    <w:rsid w:val="00534C0C"/>
    <w:rsid w:val="00535B56"/>
    <w:rsid w:val="0053778C"/>
    <w:rsid w:val="00537EA0"/>
    <w:rsid w:val="00537EFE"/>
    <w:rsid w:val="00541497"/>
    <w:rsid w:val="0054240B"/>
    <w:rsid w:val="00542F09"/>
    <w:rsid w:val="00543084"/>
    <w:rsid w:val="0054399A"/>
    <w:rsid w:val="0054406B"/>
    <w:rsid w:val="00544831"/>
    <w:rsid w:val="005450F1"/>
    <w:rsid w:val="005451FC"/>
    <w:rsid w:val="00545205"/>
    <w:rsid w:val="00545DCA"/>
    <w:rsid w:val="00545EBE"/>
    <w:rsid w:val="005464AD"/>
    <w:rsid w:val="005475D3"/>
    <w:rsid w:val="00547E18"/>
    <w:rsid w:val="0055081B"/>
    <w:rsid w:val="00552E66"/>
    <w:rsid w:val="00553111"/>
    <w:rsid w:val="005534C1"/>
    <w:rsid w:val="0055351E"/>
    <w:rsid w:val="0056008A"/>
    <w:rsid w:val="00562187"/>
    <w:rsid w:val="0056427B"/>
    <w:rsid w:val="0056474C"/>
    <w:rsid w:val="00565290"/>
    <w:rsid w:val="005660C3"/>
    <w:rsid w:val="00566BE2"/>
    <w:rsid w:val="005707BE"/>
    <w:rsid w:val="005725BE"/>
    <w:rsid w:val="00575252"/>
    <w:rsid w:val="0057744C"/>
    <w:rsid w:val="0058267E"/>
    <w:rsid w:val="00582690"/>
    <w:rsid w:val="00584349"/>
    <w:rsid w:val="00584545"/>
    <w:rsid w:val="0058465B"/>
    <w:rsid w:val="005848FC"/>
    <w:rsid w:val="00584CBC"/>
    <w:rsid w:val="00584CFF"/>
    <w:rsid w:val="00585464"/>
    <w:rsid w:val="0058639B"/>
    <w:rsid w:val="00586CE2"/>
    <w:rsid w:val="0059097D"/>
    <w:rsid w:val="00592C1C"/>
    <w:rsid w:val="00593C2B"/>
    <w:rsid w:val="0059422A"/>
    <w:rsid w:val="00594587"/>
    <w:rsid w:val="005954CF"/>
    <w:rsid w:val="00595618"/>
    <w:rsid w:val="005957D5"/>
    <w:rsid w:val="00595FC7"/>
    <w:rsid w:val="005960B4"/>
    <w:rsid w:val="005975EF"/>
    <w:rsid w:val="005979C0"/>
    <w:rsid w:val="005A0593"/>
    <w:rsid w:val="005A1112"/>
    <w:rsid w:val="005A1BF9"/>
    <w:rsid w:val="005A3DFC"/>
    <w:rsid w:val="005A4675"/>
    <w:rsid w:val="005A61DA"/>
    <w:rsid w:val="005A66F1"/>
    <w:rsid w:val="005B136B"/>
    <w:rsid w:val="005B17E4"/>
    <w:rsid w:val="005B2704"/>
    <w:rsid w:val="005B3454"/>
    <w:rsid w:val="005B42CF"/>
    <w:rsid w:val="005B5476"/>
    <w:rsid w:val="005B54AF"/>
    <w:rsid w:val="005B5CD5"/>
    <w:rsid w:val="005B6DE9"/>
    <w:rsid w:val="005C059E"/>
    <w:rsid w:val="005C103F"/>
    <w:rsid w:val="005C19A9"/>
    <w:rsid w:val="005C5456"/>
    <w:rsid w:val="005C7204"/>
    <w:rsid w:val="005C7624"/>
    <w:rsid w:val="005D295B"/>
    <w:rsid w:val="005D5422"/>
    <w:rsid w:val="005D5682"/>
    <w:rsid w:val="005D6F0A"/>
    <w:rsid w:val="005E06F1"/>
    <w:rsid w:val="005E1774"/>
    <w:rsid w:val="005E3A2D"/>
    <w:rsid w:val="005E3F8C"/>
    <w:rsid w:val="005E4AC6"/>
    <w:rsid w:val="005E7580"/>
    <w:rsid w:val="005F0224"/>
    <w:rsid w:val="005F15A4"/>
    <w:rsid w:val="005F16AC"/>
    <w:rsid w:val="005F2019"/>
    <w:rsid w:val="005F44D0"/>
    <w:rsid w:val="005F58C6"/>
    <w:rsid w:val="005F68E3"/>
    <w:rsid w:val="00601BEB"/>
    <w:rsid w:val="00601FDE"/>
    <w:rsid w:val="0060259C"/>
    <w:rsid w:val="00602A46"/>
    <w:rsid w:val="00602DE6"/>
    <w:rsid w:val="006037CE"/>
    <w:rsid w:val="00603C06"/>
    <w:rsid w:val="006050F4"/>
    <w:rsid w:val="00607F40"/>
    <w:rsid w:val="006100EC"/>
    <w:rsid w:val="00610BF4"/>
    <w:rsid w:val="00615194"/>
    <w:rsid w:val="00616137"/>
    <w:rsid w:val="00617429"/>
    <w:rsid w:val="00617CCB"/>
    <w:rsid w:val="00621241"/>
    <w:rsid w:val="00621A17"/>
    <w:rsid w:val="006223C8"/>
    <w:rsid w:val="00622EC7"/>
    <w:rsid w:val="006238E5"/>
    <w:rsid w:val="006243EC"/>
    <w:rsid w:val="00625B37"/>
    <w:rsid w:val="00625DEC"/>
    <w:rsid w:val="00627B03"/>
    <w:rsid w:val="00627F1D"/>
    <w:rsid w:val="00630082"/>
    <w:rsid w:val="006308E6"/>
    <w:rsid w:val="00630B53"/>
    <w:rsid w:val="00631B7C"/>
    <w:rsid w:val="00633A34"/>
    <w:rsid w:val="00633B11"/>
    <w:rsid w:val="0063414E"/>
    <w:rsid w:val="00634F37"/>
    <w:rsid w:val="0063602D"/>
    <w:rsid w:val="00637DEC"/>
    <w:rsid w:val="006403DA"/>
    <w:rsid w:val="00640990"/>
    <w:rsid w:val="00640CA9"/>
    <w:rsid w:val="00640D66"/>
    <w:rsid w:val="006412A3"/>
    <w:rsid w:val="00641A72"/>
    <w:rsid w:val="0064267F"/>
    <w:rsid w:val="00642DA1"/>
    <w:rsid w:val="006452D9"/>
    <w:rsid w:val="006504FC"/>
    <w:rsid w:val="00653421"/>
    <w:rsid w:val="0065777A"/>
    <w:rsid w:val="00657A0A"/>
    <w:rsid w:val="006608BE"/>
    <w:rsid w:val="006611FD"/>
    <w:rsid w:val="006622DE"/>
    <w:rsid w:val="00662BF8"/>
    <w:rsid w:val="006634F6"/>
    <w:rsid w:val="00666492"/>
    <w:rsid w:val="006667BD"/>
    <w:rsid w:val="00667C45"/>
    <w:rsid w:val="00672771"/>
    <w:rsid w:val="006736DF"/>
    <w:rsid w:val="00673F29"/>
    <w:rsid w:val="00674978"/>
    <w:rsid w:val="00675C8E"/>
    <w:rsid w:val="00676720"/>
    <w:rsid w:val="006820ED"/>
    <w:rsid w:val="00683BF9"/>
    <w:rsid w:val="00683D1A"/>
    <w:rsid w:val="00685A39"/>
    <w:rsid w:val="00685B95"/>
    <w:rsid w:val="00687339"/>
    <w:rsid w:val="006874EB"/>
    <w:rsid w:val="006908C6"/>
    <w:rsid w:val="00691613"/>
    <w:rsid w:val="00691F04"/>
    <w:rsid w:val="006947AD"/>
    <w:rsid w:val="00694AD9"/>
    <w:rsid w:val="00694EE8"/>
    <w:rsid w:val="00696B5A"/>
    <w:rsid w:val="006A0BC2"/>
    <w:rsid w:val="006A255F"/>
    <w:rsid w:val="006A3B06"/>
    <w:rsid w:val="006A3F94"/>
    <w:rsid w:val="006A4699"/>
    <w:rsid w:val="006A46B8"/>
    <w:rsid w:val="006A54D6"/>
    <w:rsid w:val="006A573C"/>
    <w:rsid w:val="006A5ED9"/>
    <w:rsid w:val="006A6354"/>
    <w:rsid w:val="006A6FE2"/>
    <w:rsid w:val="006A7940"/>
    <w:rsid w:val="006B0D05"/>
    <w:rsid w:val="006B0D98"/>
    <w:rsid w:val="006B22EA"/>
    <w:rsid w:val="006B32C6"/>
    <w:rsid w:val="006B3661"/>
    <w:rsid w:val="006B3A58"/>
    <w:rsid w:val="006B4642"/>
    <w:rsid w:val="006B48F0"/>
    <w:rsid w:val="006B4A2C"/>
    <w:rsid w:val="006B6EA7"/>
    <w:rsid w:val="006B76F0"/>
    <w:rsid w:val="006B7A0A"/>
    <w:rsid w:val="006B7B54"/>
    <w:rsid w:val="006B7B5F"/>
    <w:rsid w:val="006C086B"/>
    <w:rsid w:val="006C21AB"/>
    <w:rsid w:val="006C28CA"/>
    <w:rsid w:val="006C2AFA"/>
    <w:rsid w:val="006C3D67"/>
    <w:rsid w:val="006C40C4"/>
    <w:rsid w:val="006C4CCC"/>
    <w:rsid w:val="006C7BA7"/>
    <w:rsid w:val="006D0559"/>
    <w:rsid w:val="006D1D0F"/>
    <w:rsid w:val="006D26DC"/>
    <w:rsid w:val="006D3318"/>
    <w:rsid w:val="006D341F"/>
    <w:rsid w:val="006D3430"/>
    <w:rsid w:val="006D6047"/>
    <w:rsid w:val="006E0ABB"/>
    <w:rsid w:val="006E0D61"/>
    <w:rsid w:val="006E1B63"/>
    <w:rsid w:val="006E1D98"/>
    <w:rsid w:val="006E1DEE"/>
    <w:rsid w:val="006E1EB4"/>
    <w:rsid w:val="006E1EF9"/>
    <w:rsid w:val="006E2C12"/>
    <w:rsid w:val="006E42B3"/>
    <w:rsid w:val="006E547D"/>
    <w:rsid w:val="006E6F59"/>
    <w:rsid w:val="006E7282"/>
    <w:rsid w:val="006E7F3F"/>
    <w:rsid w:val="006F0133"/>
    <w:rsid w:val="006F051F"/>
    <w:rsid w:val="006F244F"/>
    <w:rsid w:val="006F2C67"/>
    <w:rsid w:val="006F3C0F"/>
    <w:rsid w:val="006F5321"/>
    <w:rsid w:val="006F5C52"/>
    <w:rsid w:val="00702114"/>
    <w:rsid w:val="0070374A"/>
    <w:rsid w:val="00704CE1"/>
    <w:rsid w:val="007066DE"/>
    <w:rsid w:val="00706A16"/>
    <w:rsid w:val="00706E80"/>
    <w:rsid w:val="0070798F"/>
    <w:rsid w:val="00707BCC"/>
    <w:rsid w:val="007133B0"/>
    <w:rsid w:val="00714D0C"/>
    <w:rsid w:val="00714F3D"/>
    <w:rsid w:val="00716376"/>
    <w:rsid w:val="0071656D"/>
    <w:rsid w:val="00716EBA"/>
    <w:rsid w:val="00717B91"/>
    <w:rsid w:val="00717F4A"/>
    <w:rsid w:val="0072148A"/>
    <w:rsid w:val="007216C3"/>
    <w:rsid w:val="00722BF4"/>
    <w:rsid w:val="007240A9"/>
    <w:rsid w:val="0072640A"/>
    <w:rsid w:val="00726D0B"/>
    <w:rsid w:val="007306B9"/>
    <w:rsid w:val="00730BA7"/>
    <w:rsid w:val="00730F7C"/>
    <w:rsid w:val="00731F6E"/>
    <w:rsid w:val="00732287"/>
    <w:rsid w:val="007337D4"/>
    <w:rsid w:val="0073381D"/>
    <w:rsid w:val="00733FC1"/>
    <w:rsid w:val="007376D2"/>
    <w:rsid w:val="0074039D"/>
    <w:rsid w:val="00740F29"/>
    <w:rsid w:val="00740F4A"/>
    <w:rsid w:val="00741AD1"/>
    <w:rsid w:val="007426B5"/>
    <w:rsid w:val="007430E7"/>
    <w:rsid w:val="0074327F"/>
    <w:rsid w:val="00743575"/>
    <w:rsid w:val="00744D74"/>
    <w:rsid w:val="00745793"/>
    <w:rsid w:val="007457FB"/>
    <w:rsid w:val="00745925"/>
    <w:rsid w:val="00745E8C"/>
    <w:rsid w:val="007464FB"/>
    <w:rsid w:val="00746C8D"/>
    <w:rsid w:val="00747EA3"/>
    <w:rsid w:val="0075109B"/>
    <w:rsid w:val="00753379"/>
    <w:rsid w:val="0075748B"/>
    <w:rsid w:val="007609A4"/>
    <w:rsid w:val="00761AA6"/>
    <w:rsid w:val="00762830"/>
    <w:rsid w:val="00762CE0"/>
    <w:rsid w:val="00765E78"/>
    <w:rsid w:val="007667B7"/>
    <w:rsid w:val="0076691D"/>
    <w:rsid w:val="00766FD9"/>
    <w:rsid w:val="007702FA"/>
    <w:rsid w:val="007713AE"/>
    <w:rsid w:val="00771DD2"/>
    <w:rsid w:val="00771F3C"/>
    <w:rsid w:val="00772A09"/>
    <w:rsid w:val="007737FE"/>
    <w:rsid w:val="0077412E"/>
    <w:rsid w:val="00776162"/>
    <w:rsid w:val="00776533"/>
    <w:rsid w:val="00776881"/>
    <w:rsid w:val="00776C61"/>
    <w:rsid w:val="0078140B"/>
    <w:rsid w:val="00782AD3"/>
    <w:rsid w:val="007837DC"/>
    <w:rsid w:val="00783A96"/>
    <w:rsid w:val="0078443F"/>
    <w:rsid w:val="00784797"/>
    <w:rsid w:val="00784D9E"/>
    <w:rsid w:val="00787037"/>
    <w:rsid w:val="00790863"/>
    <w:rsid w:val="00791507"/>
    <w:rsid w:val="00791E9E"/>
    <w:rsid w:val="00792649"/>
    <w:rsid w:val="00793517"/>
    <w:rsid w:val="00794F56"/>
    <w:rsid w:val="007979A0"/>
    <w:rsid w:val="007A1790"/>
    <w:rsid w:val="007A2534"/>
    <w:rsid w:val="007A2544"/>
    <w:rsid w:val="007A2BFC"/>
    <w:rsid w:val="007A4452"/>
    <w:rsid w:val="007A4703"/>
    <w:rsid w:val="007A4756"/>
    <w:rsid w:val="007A5613"/>
    <w:rsid w:val="007A657F"/>
    <w:rsid w:val="007B0284"/>
    <w:rsid w:val="007B0FDA"/>
    <w:rsid w:val="007B1531"/>
    <w:rsid w:val="007B50A3"/>
    <w:rsid w:val="007B6571"/>
    <w:rsid w:val="007B66B2"/>
    <w:rsid w:val="007B6A97"/>
    <w:rsid w:val="007C031E"/>
    <w:rsid w:val="007C16B9"/>
    <w:rsid w:val="007C1B10"/>
    <w:rsid w:val="007C213E"/>
    <w:rsid w:val="007C3091"/>
    <w:rsid w:val="007C5D85"/>
    <w:rsid w:val="007C77C9"/>
    <w:rsid w:val="007D2287"/>
    <w:rsid w:val="007D4153"/>
    <w:rsid w:val="007D50C1"/>
    <w:rsid w:val="007D644E"/>
    <w:rsid w:val="007E0AB4"/>
    <w:rsid w:val="007E470E"/>
    <w:rsid w:val="007E5C16"/>
    <w:rsid w:val="007E6DF9"/>
    <w:rsid w:val="007F218C"/>
    <w:rsid w:val="007F51FC"/>
    <w:rsid w:val="007F5775"/>
    <w:rsid w:val="007F6FC5"/>
    <w:rsid w:val="0080008E"/>
    <w:rsid w:val="00802CA7"/>
    <w:rsid w:val="00806EBD"/>
    <w:rsid w:val="008132D2"/>
    <w:rsid w:val="00813385"/>
    <w:rsid w:val="008133CB"/>
    <w:rsid w:val="00813C65"/>
    <w:rsid w:val="00816A18"/>
    <w:rsid w:val="00820600"/>
    <w:rsid w:val="00820909"/>
    <w:rsid w:val="0082092A"/>
    <w:rsid w:val="00821EFC"/>
    <w:rsid w:val="00822457"/>
    <w:rsid w:val="00823625"/>
    <w:rsid w:val="00823951"/>
    <w:rsid w:val="008239C8"/>
    <w:rsid w:val="00825005"/>
    <w:rsid w:val="008259C4"/>
    <w:rsid w:val="00825BE8"/>
    <w:rsid w:val="008263AB"/>
    <w:rsid w:val="008269DA"/>
    <w:rsid w:val="00831451"/>
    <w:rsid w:val="00832B30"/>
    <w:rsid w:val="00832CE2"/>
    <w:rsid w:val="008337F9"/>
    <w:rsid w:val="00835F93"/>
    <w:rsid w:val="008365AE"/>
    <w:rsid w:val="00836BEB"/>
    <w:rsid w:val="00840EF9"/>
    <w:rsid w:val="008424DF"/>
    <w:rsid w:val="0084409A"/>
    <w:rsid w:val="008446E3"/>
    <w:rsid w:val="008458F8"/>
    <w:rsid w:val="00846C6D"/>
    <w:rsid w:val="008526AA"/>
    <w:rsid w:val="008529ED"/>
    <w:rsid w:val="008550BF"/>
    <w:rsid w:val="00856446"/>
    <w:rsid w:val="00861243"/>
    <w:rsid w:val="00861355"/>
    <w:rsid w:val="00862943"/>
    <w:rsid w:val="008629BB"/>
    <w:rsid w:val="00866640"/>
    <w:rsid w:val="00866B59"/>
    <w:rsid w:val="00867583"/>
    <w:rsid w:val="00873A36"/>
    <w:rsid w:val="00874552"/>
    <w:rsid w:val="0087526A"/>
    <w:rsid w:val="00875A80"/>
    <w:rsid w:val="008774D5"/>
    <w:rsid w:val="00877860"/>
    <w:rsid w:val="00877DAD"/>
    <w:rsid w:val="00880D86"/>
    <w:rsid w:val="008834E5"/>
    <w:rsid w:val="00883B79"/>
    <w:rsid w:val="008847EE"/>
    <w:rsid w:val="00884EDD"/>
    <w:rsid w:val="00884FC6"/>
    <w:rsid w:val="00887B9F"/>
    <w:rsid w:val="00891868"/>
    <w:rsid w:val="00894E11"/>
    <w:rsid w:val="00895B6E"/>
    <w:rsid w:val="00896CD2"/>
    <w:rsid w:val="00896F4E"/>
    <w:rsid w:val="0089775B"/>
    <w:rsid w:val="008A0CD0"/>
    <w:rsid w:val="008A1E5D"/>
    <w:rsid w:val="008A51EA"/>
    <w:rsid w:val="008A57A4"/>
    <w:rsid w:val="008A5CD6"/>
    <w:rsid w:val="008A5D48"/>
    <w:rsid w:val="008A63B7"/>
    <w:rsid w:val="008A64DB"/>
    <w:rsid w:val="008A757D"/>
    <w:rsid w:val="008A75A9"/>
    <w:rsid w:val="008A79EC"/>
    <w:rsid w:val="008B0163"/>
    <w:rsid w:val="008B1E18"/>
    <w:rsid w:val="008B2B26"/>
    <w:rsid w:val="008B3AF0"/>
    <w:rsid w:val="008B5326"/>
    <w:rsid w:val="008B56AB"/>
    <w:rsid w:val="008B5BD2"/>
    <w:rsid w:val="008B620E"/>
    <w:rsid w:val="008B6ED5"/>
    <w:rsid w:val="008B7099"/>
    <w:rsid w:val="008B7494"/>
    <w:rsid w:val="008B7F10"/>
    <w:rsid w:val="008C0E90"/>
    <w:rsid w:val="008C17F9"/>
    <w:rsid w:val="008C19E8"/>
    <w:rsid w:val="008C66EE"/>
    <w:rsid w:val="008C720E"/>
    <w:rsid w:val="008C7E63"/>
    <w:rsid w:val="008D017D"/>
    <w:rsid w:val="008D2304"/>
    <w:rsid w:val="008D46F2"/>
    <w:rsid w:val="008D519F"/>
    <w:rsid w:val="008D575E"/>
    <w:rsid w:val="008D5D99"/>
    <w:rsid w:val="008D70D5"/>
    <w:rsid w:val="008D7958"/>
    <w:rsid w:val="008E303A"/>
    <w:rsid w:val="008E3306"/>
    <w:rsid w:val="008E5CF4"/>
    <w:rsid w:val="008E6D56"/>
    <w:rsid w:val="008E7001"/>
    <w:rsid w:val="008E72D4"/>
    <w:rsid w:val="008F147C"/>
    <w:rsid w:val="008F268F"/>
    <w:rsid w:val="008F2BEA"/>
    <w:rsid w:val="008F6CCE"/>
    <w:rsid w:val="00900FCF"/>
    <w:rsid w:val="00904F2D"/>
    <w:rsid w:val="00905980"/>
    <w:rsid w:val="00905C8A"/>
    <w:rsid w:val="009064C3"/>
    <w:rsid w:val="00906B53"/>
    <w:rsid w:val="00906C7E"/>
    <w:rsid w:val="00906FFE"/>
    <w:rsid w:val="00907D73"/>
    <w:rsid w:val="00911932"/>
    <w:rsid w:val="00912426"/>
    <w:rsid w:val="00913865"/>
    <w:rsid w:val="00913D82"/>
    <w:rsid w:val="00914097"/>
    <w:rsid w:val="00917B59"/>
    <w:rsid w:val="00921299"/>
    <w:rsid w:val="0092170E"/>
    <w:rsid w:val="00921826"/>
    <w:rsid w:val="00921AD8"/>
    <w:rsid w:val="0093014E"/>
    <w:rsid w:val="00931557"/>
    <w:rsid w:val="009323C4"/>
    <w:rsid w:val="009327EE"/>
    <w:rsid w:val="00932B9B"/>
    <w:rsid w:val="009336E9"/>
    <w:rsid w:val="00934C7D"/>
    <w:rsid w:val="00937032"/>
    <w:rsid w:val="00937BDD"/>
    <w:rsid w:val="009410E7"/>
    <w:rsid w:val="00942600"/>
    <w:rsid w:val="0094349A"/>
    <w:rsid w:val="009449CC"/>
    <w:rsid w:val="0094607C"/>
    <w:rsid w:val="009478A7"/>
    <w:rsid w:val="00950359"/>
    <w:rsid w:val="00951561"/>
    <w:rsid w:val="00952278"/>
    <w:rsid w:val="0095354D"/>
    <w:rsid w:val="00953722"/>
    <w:rsid w:val="00954203"/>
    <w:rsid w:val="00956290"/>
    <w:rsid w:val="00956FB2"/>
    <w:rsid w:val="00960AF6"/>
    <w:rsid w:val="00963BF7"/>
    <w:rsid w:val="00963F43"/>
    <w:rsid w:val="00965B85"/>
    <w:rsid w:val="00965FA9"/>
    <w:rsid w:val="00966B0B"/>
    <w:rsid w:val="00966C6E"/>
    <w:rsid w:val="00967091"/>
    <w:rsid w:val="00967C5A"/>
    <w:rsid w:val="00967D6C"/>
    <w:rsid w:val="00972283"/>
    <w:rsid w:val="00972356"/>
    <w:rsid w:val="0097316B"/>
    <w:rsid w:val="009735BE"/>
    <w:rsid w:val="009741EF"/>
    <w:rsid w:val="0097434C"/>
    <w:rsid w:val="0097645A"/>
    <w:rsid w:val="00976769"/>
    <w:rsid w:val="00977DB0"/>
    <w:rsid w:val="00977EA4"/>
    <w:rsid w:val="00980248"/>
    <w:rsid w:val="0098195B"/>
    <w:rsid w:val="00982D31"/>
    <w:rsid w:val="00987CA3"/>
    <w:rsid w:val="00991022"/>
    <w:rsid w:val="0099141E"/>
    <w:rsid w:val="00992B0B"/>
    <w:rsid w:val="00992F1B"/>
    <w:rsid w:val="009940AD"/>
    <w:rsid w:val="00994905"/>
    <w:rsid w:val="009978E5"/>
    <w:rsid w:val="009A15A2"/>
    <w:rsid w:val="009A1673"/>
    <w:rsid w:val="009A1CD6"/>
    <w:rsid w:val="009A25DB"/>
    <w:rsid w:val="009A2DDE"/>
    <w:rsid w:val="009A3CCD"/>
    <w:rsid w:val="009A4C42"/>
    <w:rsid w:val="009A4F3F"/>
    <w:rsid w:val="009A57C4"/>
    <w:rsid w:val="009A6DE3"/>
    <w:rsid w:val="009A6E0C"/>
    <w:rsid w:val="009A767B"/>
    <w:rsid w:val="009B1D7A"/>
    <w:rsid w:val="009B36E9"/>
    <w:rsid w:val="009B5D5A"/>
    <w:rsid w:val="009B727D"/>
    <w:rsid w:val="009B7FAC"/>
    <w:rsid w:val="009C0167"/>
    <w:rsid w:val="009C0559"/>
    <w:rsid w:val="009C0738"/>
    <w:rsid w:val="009C0CAD"/>
    <w:rsid w:val="009C1E35"/>
    <w:rsid w:val="009C250B"/>
    <w:rsid w:val="009C25BB"/>
    <w:rsid w:val="009C2E0F"/>
    <w:rsid w:val="009C5223"/>
    <w:rsid w:val="009C52C5"/>
    <w:rsid w:val="009C56A7"/>
    <w:rsid w:val="009C6D52"/>
    <w:rsid w:val="009D05DD"/>
    <w:rsid w:val="009D0FF3"/>
    <w:rsid w:val="009D1921"/>
    <w:rsid w:val="009D2A6A"/>
    <w:rsid w:val="009D2C6E"/>
    <w:rsid w:val="009E1A6A"/>
    <w:rsid w:val="009E263F"/>
    <w:rsid w:val="009E3C90"/>
    <w:rsid w:val="009E4A0C"/>
    <w:rsid w:val="009E4F5C"/>
    <w:rsid w:val="009E5EE9"/>
    <w:rsid w:val="009E747B"/>
    <w:rsid w:val="009F1201"/>
    <w:rsid w:val="009F23B3"/>
    <w:rsid w:val="009F308D"/>
    <w:rsid w:val="009F65EF"/>
    <w:rsid w:val="00A00342"/>
    <w:rsid w:val="00A03766"/>
    <w:rsid w:val="00A03935"/>
    <w:rsid w:val="00A040BF"/>
    <w:rsid w:val="00A06F7A"/>
    <w:rsid w:val="00A109EC"/>
    <w:rsid w:val="00A10BA7"/>
    <w:rsid w:val="00A117B9"/>
    <w:rsid w:val="00A11B14"/>
    <w:rsid w:val="00A1297B"/>
    <w:rsid w:val="00A1407C"/>
    <w:rsid w:val="00A153D4"/>
    <w:rsid w:val="00A15BD1"/>
    <w:rsid w:val="00A16AFE"/>
    <w:rsid w:val="00A179A9"/>
    <w:rsid w:val="00A17BE6"/>
    <w:rsid w:val="00A20360"/>
    <w:rsid w:val="00A2046B"/>
    <w:rsid w:val="00A20F56"/>
    <w:rsid w:val="00A21ECD"/>
    <w:rsid w:val="00A21F2A"/>
    <w:rsid w:val="00A22231"/>
    <w:rsid w:val="00A223EA"/>
    <w:rsid w:val="00A230BA"/>
    <w:rsid w:val="00A236E6"/>
    <w:rsid w:val="00A25162"/>
    <w:rsid w:val="00A256C6"/>
    <w:rsid w:val="00A25E31"/>
    <w:rsid w:val="00A2633D"/>
    <w:rsid w:val="00A3098B"/>
    <w:rsid w:val="00A319CD"/>
    <w:rsid w:val="00A327DD"/>
    <w:rsid w:val="00A33DF7"/>
    <w:rsid w:val="00A33F32"/>
    <w:rsid w:val="00A363ED"/>
    <w:rsid w:val="00A37D15"/>
    <w:rsid w:val="00A43D77"/>
    <w:rsid w:val="00A4483F"/>
    <w:rsid w:val="00A44841"/>
    <w:rsid w:val="00A449C2"/>
    <w:rsid w:val="00A44D77"/>
    <w:rsid w:val="00A462C3"/>
    <w:rsid w:val="00A469A0"/>
    <w:rsid w:val="00A475B8"/>
    <w:rsid w:val="00A47B0F"/>
    <w:rsid w:val="00A504DC"/>
    <w:rsid w:val="00A504DD"/>
    <w:rsid w:val="00A50F93"/>
    <w:rsid w:val="00A51845"/>
    <w:rsid w:val="00A52080"/>
    <w:rsid w:val="00A602C2"/>
    <w:rsid w:val="00A608CB"/>
    <w:rsid w:val="00A60989"/>
    <w:rsid w:val="00A62A94"/>
    <w:rsid w:val="00A636EF"/>
    <w:rsid w:val="00A63907"/>
    <w:rsid w:val="00A63A25"/>
    <w:rsid w:val="00A64981"/>
    <w:rsid w:val="00A65AA0"/>
    <w:rsid w:val="00A65CBF"/>
    <w:rsid w:val="00A65E7F"/>
    <w:rsid w:val="00A71391"/>
    <w:rsid w:val="00A71FAC"/>
    <w:rsid w:val="00A74327"/>
    <w:rsid w:val="00A76051"/>
    <w:rsid w:val="00A7675D"/>
    <w:rsid w:val="00A81448"/>
    <w:rsid w:val="00A82A3B"/>
    <w:rsid w:val="00A83A07"/>
    <w:rsid w:val="00A83A24"/>
    <w:rsid w:val="00A8622E"/>
    <w:rsid w:val="00A866C0"/>
    <w:rsid w:val="00A86EE7"/>
    <w:rsid w:val="00A90919"/>
    <w:rsid w:val="00A90B4C"/>
    <w:rsid w:val="00A90C37"/>
    <w:rsid w:val="00A90DDF"/>
    <w:rsid w:val="00A91BD9"/>
    <w:rsid w:val="00A92DC0"/>
    <w:rsid w:val="00A93D4F"/>
    <w:rsid w:val="00A93DE2"/>
    <w:rsid w:val="00A97531"/>
    <w:rsid w:val="00AA235C"/>
    <w:rsid w:val="00AA680D"/>
    <w:rsid w:val="00AA6AAB"/>
    <w:rsid w:val="00AB015F"/>
    <w:rsid w:val="00AB05D8"/>
    <w:rsid w:val="00AB1571"/>
    <w:rsid w:val="00AB24CF"/>
    <w:rsid w:val="00AB269D"/>
    <w:rsid w:val="00AB2873"/>
    <w:rsid w:val="00AB3150"/>
    <w:rsid w:val="00AB36E3"/>
    <w:rsid w:val="00AB5D4C"/>
    <w:rsid w:val="00AB601E"/>
    <w:rsid w:val="00AB7202"/>
    <w:rsid w:val="00AB7E99"/>
    <w:rsid w:val="00AC00A0"/>
    <w:rsid w:val="00AC014D"/>
    <w:rsid w:val="00AC4196"/>
    <w:rsid w:val="00AC4278"/>
    <w:rsid w:val="00AC5C02"/>
    <w:rsid w:val="00AC66F9"/>
    <w:rsid w:val="00AC73A1"/>
    <w:rsid w:val="00AC7A1D"/>
    <w:rsid w:val="00AD17B0"/>
    <w:rsid w:val="00AD2306"/>
    <w:rsid w:val="00AD2543"/>
    <w:rsid w:val="00AD2927"/>
    <w:rsid w:val="00AD29CC"/>
    <w:rsid w:val="00AD340A"/>
    <w:rsid w:val="00AD50F8"/>
    <w:rsid w:val="00AD6701"/>
    <w:rsid w:val="00AD6BE1"/>
    <w:rsid w:val="00AD7B41"/>
    <w:rsid w:val="00AE064F"/>
    <w:rsid w:val="00AE0E4F"/>
    <w:rsid w:val="00AE18B1"/>
    <w:rsid w:val="00AE2617"/>
    <w:rsid w:val="00AE27F5"/>
    <w:rsid w:val="00AE3F73"/>
    <w:rsid w:val="00AE41A1"/>
    <w:rsid w:val="00AE562C"/>
    <w:rsid w:val="00AE5781"/>
    <w:rsid w:val="00AE58DC"/>
    <w:rsid w:val="00AE5DD6"/>
    <w:rsid w:val="00AE5F2F"/>
    <w:rsid w:val="00AE6829"/>
    <w:rsid w:val="00AF084C"/>
    <w:rsid w:val="00AF2425"/>
    <w:rsid w:val="00AF26E9"/>
    <w:rsid w:val="00AF32C3"/>
    <w:rsid w:val="00AF5D09"/>
    <w:rsid w:val="00AF64D6"/>
    <w:rsid w:val="00AF73AA"/>
    <w:rsid w:val="00AF7E90"/>
    <w:rsid w:val="00B006D9"/>
    <w:rsid w:val="00B02237"/>
    <w:rsid w:val="00B02412"/>
    <w:rsid w:val="00B03640"/>
    <w:rsid w:val="00B044C4"/>
    <w:rsid w:val="00B0475C"/>
    <w:rsid w:val="00B07253"/>
    <w:rsid w:val="00B07A7F"/>
    <w:rsid w:val="00B07F3E"/>
    <w:rsid w:val="00B11116"/>
    <w:rsid w:val="00B12441"/>
    <w:rsid w:val="00B12A81"/>
    <w:rsid w:val="00B12E1C"/>
    <w:rsid w:val="00B13A30"/>
    <w:rsid w:val="00B14C86"/>
    <w:rsid w:val="00B17012"/>
    <w:rsid w:val="00B206E6"/>
    <w:rsid w:val="00B21058"/>
    <w:rsid w:val="00B21616"/>
    <w:rsid w:val="00B21664"/>
    <w:rsid w:val="00B21B35"/>
    <w:rsid w:val="00B22188"/>
    <w:rsid w:val="00B223DE"/>
    <w:rsid w:val="00B254A5"/>
    <w:rsid w:val="00B2623D"/>
    <w:rsid w:val="00B264C5"/>
    <w:rsid w:val="00B304B9"/>
    <w:rsid w:val="00B30D96"/>
    <w:rsid w:val="00B31918"/>
    <w:rsid w:val="00B3362C"/>
    <w:rsid w:val="00B35174"/>
    <w:rsid w:val="00B36021"/>
    <w:rsid w:val="00B410C0"/>
    <w:rsid w:val="00B41E21"/>
    <w:rsid w:val="00B41FC2"/>
    <w:rsid w:val="00B43375"/>
    <w:rsid w:val="00B43486"/>
    <w:rsid w:val="00B448DB"/>
    <w:rsid w:val="00B45385"/>
    <w:rsid w:val="00B45425"/>
    <w:rsid w:val="00B454D4"/>
    <w:rsid w:val="00B45673"/>
    <w:rsid w:val="00B46AB8"/>
    <w:rsid w:val="00B46D27"/>
    <w:rsid w:val="00B50EFD"/>
    <w:rsid w:val="00B517F4"/>
    <w:rsid w:val="00B52DB4"/>
    <w:rsid w:val="00B53C82"/>
    <w:rsid w:val="00B54595"/>
    <w:rsid w:val="00B547F7"/>
    <w:rsid w:val="00B566BE"/>
    <w:rsid w:val="00B575C3"/>
    <w:rsid w:val="00B57EE5"/>
    <w:rsid w:val="00B613A3"/>
    <w:rsid w:val="00B61D63"/>
    <w:rsid w:val="00B62421"/>
    <w:rsid w:val="00B67A84"/>
    <w:rsid w:val="00B67B84"/>
    <w:rsid w:val="00B70552"/>
    <w:rsid w:val="00B70999"/>
    <w:rsid w:val="00B72B0F"/>
    <w:rsid w:val="00B758F9"/>
    <w:rsid w:val="00B75A50"/>
    <w:rsid w:val="00B76833"/>
    <w:rsid w:val="00B774AF"/>
    <w:rsid w:val="00B801D7"/>
    <w:rsid w:val="00B80539"/>
    <w:rsid w:val="00B8231A"/>
    <w:rsid w:val="00B82CAA"/>
    <w:rsid w:val="00B85A86"/>
    <w:rsid w:val="00B87B1B"/>
    <w:rsid w:val="00B9039D"/>
    <w:rsid w:val="00B93760"/>
    <w:rsid w:val="00B946AF"/>
    <w:rsid w:val="00B9687F"/>
    <w:rsid w:val="00B9729D"/>
    <w:rsid w:val="00BA00CF"/>
    <w:rsid w:val="00BA0393"/>
    <w:rsid w:val="00BA1048"/>
    <w:rsid w:val="00BA26A0"/>
    <w:rsid w:val="00BA3091"/>
    <w:rsid w:val="00BA3A11"/>
    <w:rsid w:val="00BB1BC7"/>
    <w:rsid w:val="00BB1FC5"/>
    <w:rsid w:val="00BB2589"/>
    <w:rsid w:val="00BB273E"/>
    <w:rsid w:val="00BB3EFE"/>
    <w:rsid w:val="00BB4D69"/>
    <w:rsid w:val="00BC0199"/>
    <w:rsid w:val="00BC10F7"/>
    <w:rsid w:val="00BC31DB"/>
    <w:rsid w:val="00BC3804"/>
    <w:rsid w:val="00BC5117"/>
    <w:rsid w:val="00BC799E"/>
    <w:rsid w:val="00BC7A99"/>
    <w:rsid w:val="00BD0356"/>
    <w:rsid w:val="00BD276E"/>
    <w:rsid w:val="00BD2B0E"/>
    <w:rsid w:val="00BD3C4E"/>
    <w:rsid w:val="00BD411D"/>
    <w:rsid w:val="00BD4BB1"/>
    <w:rsid w:val="00BD5FAA"/>
    <w:rsid w:val="00BD6BB4"/>
    <w:rsid w:val="00BE1677"/>
    <w:rsid w:val="00BE16CE"/>
    <w:rsid w:val="00BE3D0A"/>
    <w:rsid w:val="00BE4561"/>
    <w:rsid w:val="00BE4A13"/>
    <w:rsid w:val="00BF0797"/>
    <w:rsid w:val="00BF08DC"/>
    <w:rsid w:val="00BF14A5"/>
    <w:rsid w:val="00BF2109"/>
    <w:rsid w:val="00BF2F78"/>
    <w:rsid w:val="00BF3827"/>
    <w:rsid w:val="00BF41C1"/>
    <w:rsid w:val="00BF4FFB"/>
    <w:rsid w:val="00BF5411"/>
    <w:rsid w:val="00BF5478"/>
    <w:rsid w:val="00BF558F"/>
    <w:rsid w:val="00BF6834"/>
    <w:rsid w:val="00C01CCE"/>
    <w:rsid w:val="00C04660"/>
    <w:rsid w:val="00C059F5"/>
    <w:rsid w:val="00C05B47"/>
    <w:rsid w:val="00C05C42"/>
    <w:rsid w:val="00C06197"/>
    <w:rsid w:val="00C079AA"/>
    <w:rsid w:val="00C07CE6"/>
    <w:rsid w:val="00C07EAF"/>
    <w:rsid w:val="00C10DAC"/>
    <w:rsid w:val="00C11009"/>
    <w:rsid w:val="00C11307"/>
    <w:rsid w:val="00C114D6"/>
    <w:rsid w:val="00C11DC9"/>
    <w:rsid w:val="00C12141"/>
    <w:rsid w:val="00C173CF"/>
    <w:rsid w:val="00C17A2A"/>
    <w:rsid w:val="00C20C3B"/>
    <w:rsid w:val="00C245F8"/>
    <w:rsid w:val="00C2467B"/>
    <w:rsid w:val="00C25BBF"/>
    <w:rsid w:val="00C279EB"/>
    <w:rsid w:val="00C27DAE"/>
    <w:rsid w:val="00C301D8"/>
    <w:rsid w:val="00C30210"/>
    <w:rsid w:val="00C32BA8"/>
    <w:rsid w:val="00C3694A"/>
    <w:rsid w:val="00C40155"/>
    <w:rsid w:val="00C43947"/>
    <w:rsid w:val="00C4479A"/>
    <w:rsid w:val="00C44B8F"/>
    <w:rsid w:val="00C45849"/>
    <w:rsid w:val="00C45A5B"/>
    <w:rsid w:val="00C4638E"/>
    <w:rsid w:val="00C46A15"/>
    <w:rsid w:val="00C46A35"/>
    <w:rsid w:val="00C47CEA"/>
    <w:rsid w:val="00C50ED9"/>
    <w:rsid w:val="00C51EB6"/>
    <w:rsid w:val="00C53D50"/>
    <w:rsid w:val="00C556F1"/>
    <w:rsid w:val="00C55CA2"/>
    <w:rsid w:val="00C5679B"/>
    <w:rsid w:val="00C57A2F"/>
    <w:rsid w:val="00C57A91"/>
    <w:rsid w:val="00C61A1C"/>
    <w:rsid w:val="00C622B1"/>
    <w:rsid w:val="00C64CA4"/>
    <w:rsid w:val="00C65BBA"/>
    <w:rsid w:val="00C66806"/>
    <w:rsid w:val="00C67531"/>
    <w:rsid w:val="00C67EEF"/>
    <w:rsid w:val="00C7225F"/>
    <w:rsid w:val="00C74616"/>
    <w:rsid w:val="00C76CFA"/>
    <w:rsid w:val="00C77E8E"/>
    <w:rsid w:val="00C80E8B"/>
    <w:rsid w:val="00C81FAF"/>
    <w:rsid w:val="00C8289D"/>
    <w:rsid w:val="00C8351F"/>
    <w:rsid w:val="00C83A85"/>
    <w:rsid w:val="00C83B62"/>
    <w:rsid w:val="00C83D94"/>
    <w:rsid w:val="00C85461"/>
    <w:rsid w:val="00C8656E"/>
    <w:rsid w:val="00C87273"/>
    <w:rsid w:val="00C8789F"/>
    <w:rsid w:val="00C90376"/>
    <w:rsid w:val="00C90995"/>
    <w:rsid w:val="00C91F4E"/>
    <w:rsid w:val="00C942F9"/>
    <w:rsid w:val="00CA05A8"/>
    <w:rsid w:val="00CA14EE"/>
    <w:rsid w:val="00CA1E27"/>
    <w:rsid w:val="00CA3501"/>
    <w:rsid w:val="00CA3626"/>
    <w:rsid w:val="00CA4FBA"/>
    <w:rsid w:val="00CA5918"/>
    <w:rsid w:val="00CA6D63"/>
    <w:rsid w:val="00CB1692"/>
    <w:rsid w:val="00CB179D"/>
    <w:rsid w:val="00CB2D43"/>
    <w:rsid w:val="00CB2D66"/>
    <w:rsid w:val="00CB35FA"/>
    <w:rsid w:val="00CB433C"/>
    <w:rsid w:val="00CB4BFA"/>
    <w:rsid w:val="00CB7535"/>
    <w:rsid w:val="00CB7641"/>
    <w:rsid w:val="00CB7D94"/>
    <w:rsid w:val="00CC073C"/>
    <w:rsid w:val="00CC2DD8"/>
    <w:rsid w:val="00CC30AF"/>
    <w:rsid w:val="00CC314F"/>
    <w:rsid w:val="00CC5CE5"/>
    <w:rsid w:val="00CC604C"/>
    <w:rsid w:val="00CC7CB0"/>
    <w:rsid w:val="00CD116C"/>
    <w:rsid w:val="00CD1276"/>
    <w:rsid w:val="00CD133A"/>
    <w:rsid w:val="00CD1713"/>
    <w:rsid w:val="00CD18AA"/>
    <w:rsid w:val="00CD1C2A"/>
    <w:rsid w:val="00CD210D"/>
    <w:rsid w:val="00CD28ED"/>
    <w:rsid w:val="00CD36B6"/>
    <w:rsid w:val="00CD3B2E"/>
    <w:rsid w:val="00CD4F5E"/>
    <w:rsid w:val="00CD6B11"/>
    <w:rsid w:val="00CE04D1"/>
    <w:rsid w:val="00CE0FE2"/>
    <w:rsid w:val="00CE1135"/>
    <w:rsid w:val="00CE1FC2"/>
    <w:rsid w:val="00CE3C11"/>
    <w:rsid w:val="00CE3E2D"/>
    <w:rsid w:val="00CE522C"/>
    <w:rsid w:val="00CE61FD"/>
    <w:rsid w:val="00CE6908"/>
    <w:rsid w:val="00CE6C89"/>
    <w:rsid w:val="00CE71FB"/>
    <w:rsid w:val="00CE7A07"/>
    <w:rsid w:val="00CF00EC"/>
    <w:rsid w:val="00CF0946"/>
    <w:rsid w:val="00CF0D48"/>
    <w:rsid w:val="00CF2956"/>
    <w:rsid w:val="00CF325D"/>
    <w:rsid w:val="00CF3B7D"/>
    <w:rsid w:val="00CF407D"/>
    <w:rsid w:val="00CF41B0"/>
    <w:rsid w:val="00CF54AB"/>
    <w:rsid w:val="00CF6634"/>
    <w:rsid w:val="00CF750D"/>
    <w:rsid w:val="00CF7C3C"/>
    <w:rsid w:val="00D05CF8"/>
    <w:rsid w:val="00D074F0"/>
    <w:rsid w:val="00D11761"/>
    <w:rsid w:val="00D1208A"/>
    <w:rsid w:val="00D12471"/>
    <w:rsid w:val="00D13D78"/>
    <w:rsid w:val="00D14BD1"/>
    <w:rsid w:val="00D1500E"/>
    <w:rsid w:val="00D16696"/>
    <w:rsid w:val="00D16C1F"/>
    <w:rsid w:val="00D17432"/>
    <w:rsid w:val="00D17D6F"/>
    <w:rsid w:val="00D17ED6"/>
    <w:rsid w:val="00D17F93"/>
    <w:rsid w:val="00D2009C"/>
    <w:rsid w:val="00D205A5"/>
    <w:rsid w:val="00D205B6"/>
    <w:rsid w:val="00D208D7"/>
    <w:rsid w:val="00D2178E"/>
    <w:rsid w:val="00D21D4D"/>
    <w:rsid w:val="00D220B5"/>
    <w:rsid w:val="00D2438E"/>
    <w:rsid w:val="00D24C80"/>
    <w:rsid w:val="00D24E22"/>
    <w:rsid w:val="00D278EE"/>
    <w:rsid w:val="00D27AD1"/>
    <w:rsid w:val="00D322C7"/>
    <w:rsid w:val="00D3278F"/>
    <w:rsid w:val="00D3426E"/>
    <w:rsid w:val="00D3631D"/>
    <w:rsid w:val="00D37403"/>
    <w:rsid w:val="00D3797E"/>
    <w:rsid w:val="00D40926"/>
    <w:rsid w:val="00D4281D"/>
    <w:rsid w:val="00D43506"/>
    <w:rsid w:val="00D446EE"/>
    <w:rsid w:val="00D456FF"/>
    <w:rsid w:val="00D45B52"/>
    <w:rsid w:val="00D45B8E"/>
    <w:rsid w:val="00D4625B"/>
    <w:rsid w:val="00D46A80"/>
    <w:rsid w:val="00D474AF"/>
    <w:rsid w:val="00D47566"/>
    <w:rsid w:val="00D477B3"/>
    <w:rsid w:val="00D50BB4"/>
    <w:rsid w:val="00D51550"/>
    <w:rsid w:val="00D5273B"/>
    <w:rsid w:val="00D52B18"/>
    <w:rsid w:val="00D54499"/>
    <w:rsid w:val="00D611B1"/>
    <w:rsid w:val="00D649D7"/>
    <w:rsid w:val="00D65719"/>
    <w:rsid w:val="00D660D4"/>
    <w:rsid w:val="00D6614B"/>
    <w:rsid w:val="00D662BF"/>
    <w:rsid w:val="00D719B3"/>
    <w:rsid w:val="00D71D3D"/>
    <w:rsid w:val="00D72873"/>
    <w:rsid w:val="00D769DD"/>
    <w:rsid w:val="00D76F26"/>
    <w:rsid w:val="00D778B0"/>
    <w:rsid w:val="00D86C4B"/>
    <w:rsid w:val="00D87683"/>
    <w:rsid w:val="00D9050D"/>
    <w:rsid w:val="00D9185E"/>
    <w:rsid w:val="00D924C9"/>
    <w:rsid w:val="00D93EB7"/>
    <w:rsid w:val="00D952C6"/>
    <w:rsid w:val="00D95CE1"/>
    <w:rsid w:val="00D96913"/>
    <w:rsid w:val="00D96F48"/>
    <w:rsid w:val="00D9719D"/>
    <w:rsid w:val="00D97654"/>
    <w:rsid w:val="00DA044C"/>
    <w:rsid w:val="00DA2CAB"/>
    <w:rsid w:val="00DA478B"/>
    <w:rsid w:val="00DA4E3F"/>
    <w:rsid w:val="00DA703D"/>
    <w:rsid w:val="00DA7946"/>
    <w:rsid w:val="00DA7F27"/>
    <w:rsid w:val="00DB0469"/>
    <w:rsid w:val="00DB0879"/>
    <w:rsid w:val="00DB2198"/>
    <w:rsid w:val="00DB22F2"/>
    <w:rsid w:val="00DB3B91"/>
    <w:rsid w:val="00DB3C7A"/>
    <w:rsid w:val="00DB45E4"/>
    <w:rsid w:val="00DB57CB"/>
    <w:rsid w:val="00DB7FA9"/>
    <w:rsid w:val="00DC0759"/>
    <w:rsid w:val="00DC0EC4"/>
    <w:rsid w:val="00DC11BC"/>
    <w:rsid w:val="00DC376B"/>
    <w:rsid w:val="00DC4C5A"/>
    <w:rsid w:val="00DC4E27"/>
    <w:rsid w:val="00DC59C7"/>
    <w:rsid w:val="00DD2291"/>
    <w:rsid w:val="00DD538B"/>
    <w:rsid w:val="00DD6091"/>
    <w:rsid w:val="00DD6AC9"/>
    <w:rsid w:val="00DD6AF0"/>
    <w:rsid w:val="00DD72F3"/>
    <w:rsid w:val="00DD75EC"/>
    <w:rsid w:val="00DE02A3"/>
    <w:rsid w:val="00DE0CF3"/>
    <w:rsid w:val="00DE1E0A"/>
    <w:rsid w:val="00DE1FD8"/>
    <w:rsid w:val="00DE2834"/>
    <w:rsid w:val="00DE2E27"/>
    <w:rsid w:val="00DE5651"/>
    <w:rsid w:val="00DE7BA7"/>
    <w:rsid w:val="00DF2876"/>
    <w:rsid w:val="00DF2F16"/>
    <w:rsid w:val="00DF410D"/>
    <w:rsid w:val="00DF54E7"/>
    <w:rsid w:val="00DF7914"/>
    <w:rsid w:val="00E00F88"/>
    <w:rsid w:val="00E013D3"/>
    <w:rsid w:val="00E025BA"/>
    <w:rsid w:val="00E05274"/>
    <w:rsid w:val="00E06057"/>
    <w:rsid w:val="00E1075B"/>
    <w:rsid w:val="00E11348"/>
    <w:rsid w:val="00E113F6"/>
    <w:rsid w:val="00E121ED"/>
    <w:rsid w:val="00E1268B"/>
    <w:rsid w:val="00E13772"/>
    <w:rsid w:val="00E14E84"/>
    <w:rsid w:val="00E16537"/>
    <w:rsid w:val="00E166E3"/>
    <w:rsid w:val="00E17C0A"/>
    <w:rsid w:val="00E20DC9"/>
    <w:rsid w:val="00E221DF"/>
    <w:rsid w:val="00E242C4"/>
    <w:rsid w:val="00E24E73"/>
    <w:rsid w:val="00E24F09"/>
    <w:rsid w:val="00E308A1"/>
    <w:rsid w:val="00E33C44"/>
    <w:rsid w:val="00E33F4B"/>
    <w:rsid w:val="00E345AB"/>
    <w:rsid w:val="00E365E9"/>
    <w:rsid w:val="00E37F14"/>
    <w:rsid w:val="00E4232C"/>
    <w:rsid w:val="00E42752"/>
    <w:rsid w:val="00E431B6"/>
    <w:rsid w:val="00E43B3D"/>
    <w:rsid w:val="00E4520E"/>
    <w:rsid w:val="00E46F2B"/>
    <w:rsid w:val="00E4732E"/>
    <w:rsid w:val="00E508AD"/>
    <w:rsid w:val="00E51870"/>
    <w:rsid w:val="00E5418B"/>
    <w:rsid w:val="00E544E6"/>
    <w:rsid w:val="00E5489C"/>
    <w:rsid w:val="00E614ED"/>
    <w:rsid w:val="00E6354A"/>
    <w:rsid w:val="00E63E42"/>
    <w:rsid w:val="00E64750"/>
    <w:rsid w:val="00E659EA"/>
    <w:rsid w:val="00E6723F"/>
    <w:rsid w:val="00E701A1"/>
    <w:rsid w:val="00E72D92"/>
    <w:rsid w:val="00E736A4"/>
    <w:rsid w:val="00E73BD0"/>
    <w:rsid w:val="00E7433C"/>
    <w:rsid w:val="00E74801"/>
    <w:rsid w:val="00E74F8B"/>
    <w:rsid w:val="00E750DE"/>
    <w:rsid w:val="00E769AE"/>
    <w:rsid w:val="00E779AD"/>
    <w:rsid w:val="00E804BE"/>
    <w:rsid w:val="00E81241"/>
    <w:rsid w:val="00E82501"/>
    <w:rsid w:val="00E83BE3"/>
    <w:rsid w:val="00E847DE"/>
    <w:rsid w:val="00E84D37"/>
    <w:rsid w:val="00E86C4C"/>
    <w:rsid w:val="00E87394"/>
    <w:rsid w:val="00E90388"/>
    <w:rsid w:val="00E90AD6"/>
    <w:rsid w:val="00E91625"/>
    <w:rsid w:val="00E93DB7"/>
    <w:rsid w:val="00E94D59"/>
    <w:rsid w:val="00E9573B"/>
    <w:rsid w:val="00E95E51"/>
    <w:rsid w:val="00E960DA"/>
    <w:rsid w:val="00E9640B"/>
    <w:rsid w:val="00E9692F"/>
    <w:rsid w:val="00EA0263"/>
    <w:rsid w:val="00EA0B1D"/>
    <w:rsid w:val="00EA12FC"/>
    <w:rsid w:val="00EA1458"/>
    <w:rsid w:val="00EA172B"/>
    <w:rsid w:val="00EA369E"/>
    <w:rsid w:val="00EA4EEF"/>
    <w:rsid w:val="00EA5D33"/>
    <w:rsid w:val="00EA6240"/>
    <w:rsid w:val="00EA7B1A"/>
    <w:rsid w:val="00EA7B7C"/>
    <w:rsid w:val="00EB01A5"/>
    <w:rsid w:val="00EB02AF"/>
    <w:rsid w:val="00EB1F41"/>
    <w:rsid w:val="00EB3695"/>
    <w:rsid w:val="00EB36D4"/>
    <w:rsid w:val="00EB3D03"/>
    <w:rsid w:val="00EB4B32"/>
    <w:rsid w:val="00EB6B13"/>
    <w:rsid w:val="00EB79CE"/>
    <w:rsid w:val="00EB7C0D"/>
    <w:rsid w:val="00EC149F"/>
    <w:rsid w:val="00EC26F4"/>
    <w:rsid w:val="00EC3408"/>
    <w:rsid w:val="00EC6FB9"/>
    <w:rsid w:val="00EC755F"/>
    <w:rsid w:val="00ED11DF"/>
    <w:rsid w:val="00ED2B0F"/>
    <w:rsid w:val="00ED4588"/>
    <w:rsid w:val="00ED4A20"/>
    <w:rsid w:val="00ED54DE"/>
    <w:rsid w:val="00ED5571"/>
    <w:rsid w:val="00ED710D"/>
    <w:rsid w:val="00ED7F2C"/>
    <w:rsid w:val="00EE0F3B"/>
    <w:rsid w:val="00EE2C89"/>
    <w:rsid w:val="00EE2D93"/>
    <w:rsid w:val="00EE381B"/>
    <w:rsid w:val="00EE3AEE"/>
    <w:rsid w:val="00EE4A12"/>
    <w:rsid w:val="00EE5BD6"/>
    <w:rsid w:val="00EE6154"/>
    <w:rsid w:val="00EE64E0"/>
    <w:rsid w:val="00EE6BFE"/>
    <w:rsid w:val="00EE79EE"/>
    <w:rsid w:val="00EF0238"/>
    <w:rsid w:val="00EF0B6D"/>
    <w:rsid w:val="00EF1597"/>
    <w:rsid w:val="00EF4ED9"/>
    <w:rsid w:val="00EF5033"/>
    <w:rsid w:val="00EF5440"/>
    <w:rsid w:val="00EF6CEE"/>
    <w:rsid w:val="00EF7ABB"/>
    <w:rsid w:val="00F00350"/>
    <w:rsid w:val="00F02055"/>
    <w:rsid w:val="00F0262F"/>
    <w:rsid w:val="00F043E5"/>
    <w:rsid w:val="00F0576A"/>
    <w:rsid w:val="00F0616A"/>
    <w:rsid w:val="00F062F8"/>
    <w:rsid w:val="00F06A30"/>
    <w:rsid w:val="00F07E5F"/>
    <w:rsid w:val="00F1101F"/>
    <w:rsid w:val="00F11D25"/>
    <w:rsid w:val="00F14067"/>
    <w:rsid w:val="00F14882"/>
    <w:rsid w:val="00F16E12"/>
    <w:rsid w:val="00F179C0"/>
    <w:rsid w:val="00F20CED"/>
    <w:rsid w:val="00F22308"/>
    <w:rsid w:val="00F22910"/>
    <w:rsid w:val="00F30940"/>
    <w:rsid w:val="00F30FB0"/>
    <w:rsid w:val="00F31C5E"/>
    <w:rsid w:val="00F3283F"/>
    <w:rsid w:val="00F337A7"/>
    <w:rsid w:val="00F341C9"/>
    <w:rsid w:val="00F34359"/>
    <w:rsid w:val="00F3521B"/>
    <w:rsid w:val="00F3562B"/>
    <w:rsid w:val="00F35B01"/>
    <w:rsid w:val="00F363BD"/>
    <w:rsid w:val="00F368B1"/>
    <w:rsid w:val="00F407DA"/>
    <w:rsid w:val="00F42644"/>
    <w:rsid w:val="00F4326A"/>
    <w:rsid w:val="00F4382A"/>
    <w:rsid w:val="00F4416C"/>
    <w:rsid w:val="00F44E61"/>
    <w:rsid w:val="00F472C6"/>
    <w:rsid w:val="00F47B9E"/>
    <w:rsid w:val="00F47E4F"/>
    <w:rsid w:val="00F50EC2"/>
    <w:rsid w:val="00F511FD"/>
    <w:rsid w:val="00F51583"/>
    <w:rsid w:val="00F5188F"/>
    <w:rsid w:val="00F51E72"/>
    <w:rsid w:val="00F526FC"/>
    <w:rsid w:val="00F52C1D"/>
    <w:rsid w:val="00F52C28"/>
    <w:rsid w:val="00F55C89"/>
    <w:rsid w:val="00F56B0F"/>
    <w:rsid w:val="00F56EA1"/>
    <w:rsid w:val="00F614B0"/>
    <w:rsid w:val="00F62D11"/>
    <w:rsid w:val="00F639D0"/>
    <w:rsid w:val="00F668AA"/>
    <w:rsid w:val="00F7028E"/>
    <w:rsid w:val="00F744A2"/>
    <w:rsid w:val="00F75DDC"/>
    <w:rsid w:val="00F75EA4"/>
    <w:rsid w:val="00F77332"/>
    <w:rsid w:val="00F81005"/>
    <w:rsid w:val="00F81ADF"/>
    <w:rsid w:val="00F82113"/>
    <w:rsid w:val="00F823D4"/>
    <w:rsid w:val="00F83280"/>
    <w:rsid w:val="00F851EB"/>
    <w:rsid w:val="00F86097"/>
    <w:rsid w:val="00F86961"/>
    <w:rsid w:val="00F86AB1"/>
    <w:rsid w:val="00F86EFA"/>
    <w:rsid w:val="00F8727C"/>
    <w:rsid w:val="00F8788A"/>
    <w:rsid w:val="00F87FA0"/>
    <w:rsid w:val="00F90F23"/>
    <w:rsid w:val="00F92A1F"/>
    <w:rsid w:val="00F94C6A"/>
    <w:rsid w:val="00F954DF"/>
    <w:rsid w:val="00F9767B"/>
    <w:rsid w:val="00FA1E92"/>
    <w:rsid w:val="00FA24AE"/>
    <w:rsid w:val="00FA257C"/>
    <w:rsid w:val="00FA2B67"/>
    <w:rsid w:val="00FA2FDA"/>
    <w:rsid w:val="00FA6303"/>
    <w:rsid w:val="00FA7BDE"/>
    <w:rsid w:val="00FA7E2E"/>
    <w:rsid w:val="00FB219D"/>
    <w:rsid w:val="00FB4A70"/>
    <w:rsid w:val="00FB56E6"/>
    <w:rsid w:val="00FB5B69"/>
    <w:rsid w:val="00FB5EA2"/>
    <w:rsid w:val="00FB6666"/>
    <w:rsid w:val="00FB6861"/>
    <w:rsid w:val="00FB6BB0"/>
    <w:rsid w:val="00FB7517"/>
    <w:rsid w:val="00FB78EE"/>
    <w:rsid w:val="00FB7B98"/>
    <w:rsid w:val="00FC0548"/>
    <w:rsid w:val="00FC0F96"/>
    <w:rsid w:val="00FC14C0"/>
    <w:rsid w:val="00FC2F6A"/>
    <w:rsid w:val="00FC3161"/>
    <w:rsid w:val="00FC4570"/>
    <w:rsid w:val="00FC54FD"/>
    <w:rsid w:val="00FC5675"/>
    <w:rsid w:val="00FC56C4"/>
    <w:rsid w:val="00FC6ED8"/>
    <w:rsid w:val="00FD09FE"/>
    <w:rsid w:val="00FD1386"/>
    <w:rsid w:val="00FD1B9B"/>
    <w:rsid w:val="00FD4C9D"/>
    <w:rsid w:val="00FD5AB8"/>
    <w:rsid w:val="00FD7243"/>
    <w:rsid w:val="00FD7947"/>
    <w:rsid w:val="00FE1929"/>
    <w:rsid w:val="00FE330E"/>
    <w:rsid w:val="00FE33CE"/>
    <w:rsid w:val="00FE3B00"/>
    <w:rsid w:val="00FE3CA9"/>
    <w:rsid w:val="00FE49BB"/>
    <w:rsid w:val="00FE63FD"/>
    <w:rsid w:val="00FE7953"/>
    <w:rsid w:val="00FF4E6D"/>
    <w:rsid w:val="00FF6282"/>
    <w:rsid w:val="00FF6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uiPriority="99"/>
    <w:lsdException w:name="List 2" w:uiPriority="99"/>
    <w:lsdException w:name="List 3" w:uiPriority="99"/>
    <w:lsdException w:name="Title" w:qFormat="1"/>
    <w:lsdException w:name="Body Text Indent" w:uiPriority="99"/>
    <w:lsdException w:name="Subtitle" w:qFormat="1"/>
    <w:lsdException w:name="Body Text First Indent" w:uiPriority="99"/>
    <w:lsdException w:name="Body Text First Indent 2" w:uiPriority="99"/>
    <w:lsdException w:name="Body Text 2"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B45"/>
    <w:rPr>
      <w:sz w:val="24"/>
      <w:szCs w:val="24"/>
    </w:rPr>
  </w:style>
  <w:style w:type="paragraph" w:styleId="1">
    <w:name w:val="heading 1"/>
    <w:basedOn w:val="a"/>
    <w:next w:val="a"/>
    <w:link w:val="10"/>
    <w:uiPriority w:val="9"/>
    <w:qFormat/>
    <w:rsid w:val="003C4B4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qFormat/>
    <w:rsid w:val="009F65EF"/>
    <w:pPr>
      <w:keepNext/>
      <w:spacing w:before="240" w:after="60"/>
      <w:ind w:firstLine="709"/>
      <w:jc w:val="both"/>
      <w:outlineLvl w:val="1"/>
    </w:pPr>
    <w:rPr>
      <w:rFonts w:ascii="Cambria" w:hAnsi="Cambria"/>
      <w:b/>
      <w:bCs/>
      <w:i/>
      <w:iCs/>
      <w:sz w:val="28"/>
      <w:szCs w:val="28"/>
    </w:rPr>
  </w:style>
  <w:style w:type="paragraph" w:styleId="3">
    <w:name w:val="heading 3"/>
    <w:basedOn w:val="a"/>
    <w:next w:val="a"/>
    <w:link w:val="30"/>
    <w:uiPriority w:val="9"/>
    <w:qFormat/>
    <w:rsid w:val="009F65EF"/>
    <w:pPr>
      <w:keepNext/>
      <w:spacing w:before="240" w:after="60"/>
      <w:ind w:firstLine="709"/>
      <w:jc w:val="both"/>
      <w:outlineLvl w:val="2"/>
    </w:pPr>
    <w:rPr>
      <w:rFonts w:ascii="Cambria" w:hAnsi="Cambria"/>
      <w:b/>
      <w:bCs/>
      <w:sz w:val="26"/>
      <w:szCs w:val="26"/>
    </w:rPr>
  </w:style>
  <w:style w:type="paragraph" w:styleId="4">
    <w:name w:val="heading 4"/>
    <w:basedOn w:val="a"/>
    <w:next w:val="a"/>
    <w:link w:val="40"/>
    <w:uiPriority w:val="9"/>
    <w:qFormat/>
    <w:rsid w:val="009F65EF"/>
    <w:pPr>
      <w:keepNext/>
      <w:spacing w:before="240" w:after="60"/>
      <w:ind w:firstLine="709"/>
      <w:jc w:val="both"/>
      <w:outlineLvl w:val="3"/>
    </w:pPr>
    <w:rPr>
      <w:rFonts w:ascii="Calibri" w:hAnsi="Calibri"/>
      <w:b/>
      <w:bCs/>
      <w:sz w:val="28"/>
      <w:szCs w:val="28"/>
    </w:rPr>
  </w:style>
  <w:style w:type="paragraph" w:styleId="5">
    <w:name w:val="heading 5"/>
    <w:basedOn w:val="a"/>
    <w:next w:val="a"/>
    <w:link w:val="50"/>
    <w:uiPriority w:val="9"/>
    <w:qFormat/>
    <w:rsid w:val="009F65EF"/>
    <w:pPr>
      <w:spacing w:before="240" w:after="60"/>
      <w:ind w:firstLine="709"/>
      <w:jc w:val="both"/>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3C4B45"/>
    <w:pPr>
      <w:autoSpaceDE w:val="0"/>
      <w:autoSpaceDN w:val="0"/>
      <w:adjustRightInd w:val="0"/>
      <w:jc w:val="both"/>
    </w:pPr>
    <w:rPr>
      <w:rFonts w:ascii="Courier New" w:hAnsi="Courier New" w:cs="Courier New"/>
      <w:sz w:val="20"/>
      <w:szCs w:val="20"/>
    </w:rPr>
  </w:style>
  <w:style w:type="paragraph" w:customStyle="1" w:styleId="a4">
    <w:name w:val="Заголовок статьи"/>
    <w:basedOn w:val="a"/>
    <w:next w:val="a"/>
    <w:uiPriority w:val="99"/>
    <w:rsid w:val="003C4B45"/>
    <w:pPr>
      <w:autoSpaceDE w:val="0"/>
      <w:autoSpaceDN w:val="0"/>
      <w:adjustRightInd w:val="0"/>
      <w:ind w:left="1612" w:hanging="892"/>
      <w:jc w:val="both"/>
    </w:pPr>
    <w:rPr>
      <w:rFonts w:ascii="Arial" w:hAnsi="Arial"/>
      <w:sz w:val="20"/>
      <w:szCs w:val="20"/>
    </w:rPr>
  </w:style>
  <w:style w:type="paragraph" w:styleId="a5">
    <w:name w:val="header"/>
    <w:basedOn w:val="a"/>
    <w:link w:val="a6"/>
    <w:uiPriority w:val="99"/>
    <w:rsid w:val="003C4B45"/>
    <w:pPr>
      <w:tabs>
        <w:tab w:val="center" w:pos="4677"/>
        <w:tab w:val="right" w:pos="9355"/>
      </w:tabs>
    </w:pPr>
  </w:style>
  <w:style w:type="character" w:styleId="a7">
    <w:name w:val="page number"/>
    <w:basedOn w:val="a0"/>
    <w:rsid w:val="003C4B45"/>
  </w:style>
  <w:style w:type="paragraph" w:styleId="a8">
    <w:name w:val="Body Text"/>
    <w:aliases w:val="Основной текст Знак,Òàáë òåêñò"/>
    <w:basedOn w:val="a"/>
    <w:link w:val="11"/>
    <w:rsid w:val="003C4B45"/>
    <w:pPr>
      <w:spacing w:after="120"/>
    </w:pPr>
  </w:style>
  <w:style w:type="paragraph" w:styleId="a9">
    <w:name w:val="Title"/>
    <w:basedOn w:val="a"/>
    <w:link w:val="aa"/>
    <w:qFormat/>
    <w:rsid w:val="003C4B45"/>
    <w:pPr>
      <w:jc w:val="center"/>
    </w:pPr>
    <w:rPr>
      <w:b/>
      <w:szCs w:val="20"/>
    </w:rPr>
  </w:style>
  <w:style w:type="paragraph" w:styleId="ab">
    <w:name w:val="Body Text Indent"/>
    <w:aliases w:val="Надин стиль,Основной текст 1,Нумерованный список !!,Iniiaiie oaeno 1,Ioia?iaaiiue nienie !!,Iaaei noeeu"/>
    <w:basedOn w:val="a"/>
    <w:link w:val="ac"/>
    <w:uiPriority w:val="99"/>
    <w:rsid w:val="003C4B45"/>
    <w:pPr>
      <w:spacing w:after="120"/>
      <w:ind w:left="283"/>
    </w:pPr>
  </w:style>
  <w:style w:type="character" w:styleId="ad">
    <w:name w:val="Hyperlink"/>
    <w:basedOn w:val="a0"/>
    <w:rsid w:val="003C4B45"/>
    <w:rPr>
      <w:color w:val="1A6375"/>
      <w:u w:val="single"/>
    </w:rPr>
  </w:style>
  <w:style w:type="paragraph" w:styleId="ae">
    <w:name w:val="Normal (Web)"/>
    <w:basedOn w:val="a"/>
    <w:uiPriority w:val="99"/>
    <w:rsid w:val="003C4B45"/>
    <w:pPr>
      <w:spacing w:before="100" w:beforeAutospacing="1" w:after="100" w:afterAutospacing="1"/>
    </w:pPr>
  </w:style>
  <w:style w:type="paragraph" w:styleId="21">
    <w:name w:val="Body Text 2"/>
    <w:basedOn w:val="a"/>
    <w:link w:val="22"/>
    <w:uiPriority w:val="99"/>
    <w:rsid w:val="003B6A77"/>
    <w:pPr>
      <w:spacing w:after="120" w:line="480" w:lineRule="auto"/>
    </w:pPr>
  </w:style>
  <w:style w:type="character" w:customStyle="1" w:styleId="22">
    <w:name w:val="Основной текст 2 Знак"/>
    <w:basedOn w:val="a0"/>
    <w:link w:val="21"/>
    <w:uiPriority w:val="99"/>
    <w:rsid w:val="003B6A77"/>
    <w:rPr>
      <w:sz w:val="24"/>
      <w:szCs w:val="24"/>
      <w:lang w:eastAsia="ru-RU"/>
    </w:rPr>
  </w:style>
  <w:style w:type="paragraph" w:customStyle="1" w:styleId="ConsPlusNonformat">
    <w:name w:val="ConsPlusNonformat"/>
    <w:uiPriority w:val="99"/>
    <w:rsid w:val="003B6A77"/>
    <w:pPr>
      <w:autoSpaceDE w:val="0"/>
      <w:autoSpaceDN w:val="0"/>
      <w:adjustRightInd w:val="0"/>
    </w:pPr>
    <w:rPr>
      <w:rFonts w:ascii="Courier New" w:hAnsi="Courier New" w:cs="Courier New"/>
    </w:rPr>
  </w:style>
  <w:style w:type="character" w:customStyle="1" w:styleId="aa">
    <w:name w:val="Название Знак"/>
    <w:basedOn w:val="a0"/>
    <w:link w:val="a9"/>
    <w:rsid w:val="003335F5"/>
    <w:rPr>
      <w:b/>
      <w:sz w:val="24"/>
      <w:lang w:eastAsia="ru-RU"/>
    </w:rPr>
  </w:style>
  <w:style w:type="character" w:customStyle="1" w:styleId="ac">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b"/>
    <w:uiPriority w:val="99"/>
    <w:rsid w:val="003335F5"/>
    <w:rPr>
      <w:sz w:val="24"/>
      <w:szCs w:val="24"/>
      <w:lang w:eastAsia="ru-RU"/>
    </w:rPr>
  </w:style>
  <w:style w:type="paragraph" w:customStyle="1" w:styleId="af">
    <w:name w:val="Прижатый влево"/>
    <w:basedOn w:val="a"/>
    <w:next w:val="a"/>
    <w:uiPriority w:val="99"/>
    <w:rsid w:val="003335F5"/>
    <w:pPr>
      <w:autoSpaceDE w:val="0"/>
      <w:autoSpaceDN w:val="0"/>
      <w:adjustRightInd w:val="0"/>
    </w:pPr>
    <w:rPr>
      <w:rFonts w:ascii="Arial" w:eastAsia="Calibri" w:hAnsi="Arial" w:cs="Arial"/>
      <w:sz w:val="20"/>
      <w:szCs w:val="20"/>
      <w:lang w:eastAsia="en-US"/>
    </w:rPr>
  </w:style>
  <w:style w:type="character" w:customStyle="1" w:styleId="20">
    <w:name w:val="Заголовок 2 Знак"/>
    <w:basedOn w:val="a0"/>
    <w:link w:val="2"/>
    <w:uiPriority w:val="9"/>
    <w:rsid w:val="009F65EF"/>
    <w:rPr>
      <w:rFonts w:ascii="Cambria" w:hAnsi="Cambria"/>
      <w:b/>
      <w:bCs/>
      <w:i/>
      <w:iCs/>
      <w:sz w:val="28"/>
      <w:szCs w:val="28"/>
    </w:rPr>
  </w:style>
  <w:style w:type="character" w:customStyle="1" w:styleId="30">
    <w:name w:val="Заголовок 3 Знак"/>
    <w:basedOn w:val="a0"/>
    <w:link w:val="3"/>
    <w:uiPriority w:val="9"/>
    <w:rsid w:val="009F65EF"/>
    <w:rPr>
      <w:rFonts w:ascii="Cambria" w:hAnsi="Cambria"/>
      <w:b/>
      <w:bCs/>
      <w:sz w:val="26"/>
      <w:szCs w:val="26"/>
    </w:rPr>
  </w:style>
  <w:style w:type="character" w:customStyle="1" w:styleId="40">
    <w:name w:val="Заголовок 4 Знак"/>
    <w:basedOn w:val="a0"/>
    <w:link w:val="4"/>
    <w:uiPriority w:val="9"/>
    <w:rsid w:val="009F65EF"/>
    <w:rPr>
      <w:rFonts w:ascii="Calibri" w:hAnsi="Calibri"/>
      <w:b/>
      <w:bCs/>
      <w:sz w:val="28"/>
      <w:szCs w:val="28"/>
    </w:rPr>
  </w:style>
  <w:style w:type="character" w:customStyle="1" w:styleId="50">
    <w:name w:val="Заголовок 5 Знак"/>
    <w:basedOn w:val="a0"/>
    <w:link w:val="5"/>
    <w:uiPriority w:val="9"/>
    <w:rsid w:val="009F65EF"/>
    <w:rPr>
      <w:rFonts w:ascii="Calibri" w:hAnsi="Calibri"/>
      <w:b/>
      <w:bCs/>
      <w:i/>
      <w:iCs/>
      <w:sz w:val="26"/>
      <w:szCs w:val="26"/>
    </w:rPr>
  </w:style>
  <w:style w:type="character" w:customStyle="1" w:styleId="10">
    <w:name w:val="Заголовок 1 Знак"/>
    <w:basedOn w:val="a0"/>
    <w:link w:val="1"/>
    <w:uiPriority w:val="9"/>
    <w:rsid w:val="009F65EF"/>
    <w:rPr>
      <w:rFonts w:ascii="Arial" w:hAnsi="Arial"/>
      <w:b/>
      <w:bCs/>
      <w:color w:val="000080"/>
    </w:rPr>
  </w:style>
  <w:style w:type="paragraph" w:customStyle="1" w:styleId="af0">
    <w:name w:val="Комментарий"/>
    <w:basedOn w:val="a"/>
    <w:next w:val="a"/>
    <w:uiPriority w:val="99"/>
    <w:rsid w:val="009F65EF"/>
    <w:pPr>
      <w:autoSpaceDE w:val="0"/>
      <w:autoSpaceDN w:val="0"/>
      <w:adjustRightInd w:val="0"/>
      <w:ind w:left="170" w:firstLine="709"/>
      <w:jc w:val="both"/>
    </w:pPr>
    <w:rPr>
      <w:rFonts w:ascii="Arial" w:eastAsia="Calibri" w:hAnsi="Arial" w:cs="Arial"/>
      <w:i/>
      <w:iCs/>
      <w:color w:val="800080"/>
    </w:rPr>
  </w:style>
  <w:style w:type="paragraph" w:styleId="af1">
    <w:name w:val="List"/>
    <w:basedOn w:val="a"/>
    <w:uiPriority w:val="99"/>
    <w:unhideWhenUsed/>
    <w:rsid w:val="009F65EF"/>
    <w:pPr>
      <w:ind w:left="283" w:hanging="283"/>
      <w:contextualSpacing/>
      <w:jc w:val="both"/>
    </w:pPr>
  </w:style>
  <w:style w:type="paragraph" w:styleId="23">
    <w:name w:val="List 2"/>
    <w:basedOn w:val="a"/>
    <w:uiPriority w:val="99"/>
    <w:unhideWhenUsed/>
    <w:rsid w:val="009F65EF"/>
    <w:pPr>
      <w:ind w:left="566" w:hanging="283"/>
      <w:contextualSpacing/>
      <w:jc w:val="both"/>
    </w:pPr>
  </w:style>
  <w:style w:type="paragraph" w:styleId="31">
    <w:name w:val="List 3"/>
    <w:basedOn w:val="a"/>
    <w:uiPriority w:val="99"/>
    <w:unhideWhenUsed/>
    <w:rsid w:val="009F65EF"/>
    <w:pPr>
      <w:ind w:left="849" w:hanging="283"/>
      <w:contextualSpacing/>
      <w:jc w:val="both"/>
    </w:pPr>
  </w:style>
  <w:style w:type="paragraph" w:styleId="af2">
    <w:name w:val="Body Text First Indent"/>
    <w:basedOn w:val="a8"/>
    <w:link w:val="af3"/>
    <w:uiPriority w:val="99"/>
    <w:unhideWhenUsed/>
    <w:rsid w:val="009F65EF"/>
    <w:pPr>
      <w:ind w:firstLine="210"/>
      <w:jc w:val="both"/>
    </w:pPr>
  </w:style>
  <w:style w:type="character" w:customStyle="1" w:styleId="11">
    <w:name w:val="Основной текст Знак1"/>
    <w:aliases w:val="Основной текст Знак Знак,Òàáë òåêñò Знак"/>
    <w:basedOn w:val="a0"/>
    <w:link w:val="a8"/>
    <w:rsid w:val="009F65EF"/>
    <w:rPr>
      <w:sz w:val="24"/>
      <w:szCs w:val="24"/>
    </w:rPr>
  </w:style>
  <w:style w:type="character" w:customStyle="1" w:styleId="af3">
    <w:name w:val="Красная строка Знак"/>
    <w:basedOn w:val="11"/>
    <w:link w:val="af2"/>
    <w:uiPriority w:val="99"/>
    <w:rsid w:val="009F65EF"/>
  </w:style>
  <w:style w:type="paragraph" w:styleId="24">
    <w:name w:val="Body Text First Indent 2"/>
    <w:basedOn w:val="ab"/>
    <w:link w:val="25"/>
    <w:uiPriority w:val="99"/>
    <w:unhideWhenUsed/>
    <w:rsid w:val="009F65EF"/>
    <w:pPr>
      <w:ind w:firstLine="210"/>
      <w:jc w:val="both"/>
    </w:pPr>
  </w:style>
  <w:style w:type="character" w:customStyle="1" w:styleId="25">
    <w:name w:val="Красная строка 2 Знак"/>
    <w:basedOn w:val="ac"/>
    <w:link w:val="24"/>
    <w:uiPriority w:val="99"/>
    <w:rsid w:val="009F65EF"/>
  </w:style>
  <w:style w:type="character" w:customStyle="1" w:styleId="a6">
    <w:name w:val="Верхний колонтитул Знак"/>
    <w:basedOn w:val="a0"/>
    <w:link w:val="a5"/>
    <w:uiPriority w:val="99"/>
    <w:rsid w:val="009F65EF"/>
    <w:rPr>
      <w:sz w:val="24"/>
      <w:szCs w:val="24"/>
    </w:rPr>
  </w:style>
  <w:style w:type="paragraph" w:styleId="af4">
    <w:name w:val="footer"/>
    <w:basedOn w:val="a"/>
    <w:link w:val="af5"/>
    <w:uiPriority w:val="99"/>
    <w:unhideWhenUsed/>
    <w:rsid w:val="009F65EF"/>
    <w:pPr>
      <w:tabs>
        <w:tab w:val="center" w:pos="4677"/>
        <w:tab w:val="right" w:pos="9355"/>
      </w:tabs>
      <w:ind w:firstLine="709"/>
      <w:jc w:val="both"/>
    </w:pPr>
  </w:style>
  <w:style w:type="character" w:customStyle="1" w:styleId="af5">
    <w:name w:val="Нижний колонтитул Знак"/>
    <w:basedOn w:val="a0"/>
    <w:link w:val="af4"/>
    <w:uiPriority w:val="99"/>
    <w:rsid w:val="009F65EF"/>
    <w:rPr>
      <w:sz w:val="24"/>
      <w:szCs w:val="24"/>
    </w:rPr>
  </w:style>
  <w:style w:type="character" w:customStyle="1" w:styleId="af6">
    <w:name w:val="Гипертекстовая ссылка"/>
    <w:basedOn w:val="a0"/>
    <w:uiPriority w:val="99"/>
    <w:rsid w:val="00E166E3"/>
    <w:rPr>
      <w:rFonts w:cs="Times New Roman"/>
      <w:color w:val="008000"/>
    </w:rPr>
  </w:style>
  <w:style w:type="table" w:styleId="af7">
    <w:name w:val="Table Grid"/>
    <w:basedOn w:val="a1"/>
    <w:uiPriority w:val="59"/>
    <w:rsid w:val="00951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Нормальный (таблица)"/>
    <w:basedOn w:val="a"/>
    <w:next w:val="a"/>
    <w:uiPriority w:val="99"/>
    <w:rsid w:val="00BA00CF"/>
    <w:pPr>
      <w:autoSpaceDE w:val="0"/>
      <w:autoSpaceDN w:val="0"/>
      <w:adjustRightInd w:val="0"/>
      <w:jc w:val="both"/>
    </w:pPr>
    <w:rPr>
      <w:rFonts w:ascii="Arial" w:hAnsi="Arial"/>
    </w:rPr>
  </w:style>
  <w:style w:type="paragraph" w:styleId="af9">
    <w:name w:val="Balloon Text"/>
    <w:basedOn w:val="a"/>
    <w:semiHidden/>
    <w:rsid w:val="002672F0"/>
    <w:rPr>
      <w:rFonts w:ascii="Tahoma" w:hAnsi="Tahoma" w:cs="Tahoma"/>
      <w:sz w:val="16"/>
      <w:szCs w:val="16"/>
    </w:rPr>
  </w:style>
  <w:style w:type="character" w:customStyle="1" w:styleId="afa">
    <w:name w:val="Цветовое выделение"/>
    <w:rsid w:val="006A6FE2"/>
    <w:rPr>
      <w:b/>
      <w:bCs/>
      <w:color w:val="000080"/>
    </w:rPr>
  </w:style>
  <w:style w:type="paragraph" w:styleId="afb">
    <w:name w:val="List Paragraph"/>
    <w:basedOn w:val="a"/>
    <w:qFormat/>
    <w:rsid w:val="006A6FE2"/>
    <w:pPr>
      <w:ind w:left="720"/>
      <w:contextualSpacing/>
    </w:pPr>
    <w:rPr>
      <w:rFonts w:eastAsia="Calibri"/>
    </w:rPr>
  </w:style>
  <w:style w:type="paragraph" w:customStyle="1" w:styleId="ConsPlusCell">
    <w:name w:val="ConsPlusCell"/>
    <w:uiPriority w:val="99"/>
    <w:rsid w:val="0041433A"/>
    <w:pPr>
      <w:autoSpaceDE w:val="0"/>
      <w:autoSpaceDN w:val="0"/>
      <w:adjustRightInd w:val="0"/>
    </w:pPr>
    <w:rPr>
      <w:sz w:val="24"/>
      <w:szCs w:val="24"/>
    </w:rPr>
  </w:style>
  <w:style w:type="character" w:customStyle="1" w:styleId="afc">
    <w:name w:val="Сравнение редакций. Добавленный фрагмент"/>
    <w:uiPriority w:val="99"/>
    <w:rsid w:val="00F77332"/>
    <w:rPr>
      <w:color w:val="000000"/>
      <w:shd w:val="clear" w:color="auto" w:fill="C1D7FF"/>
    </w:rPr>
  </w:style>
  <w:style w:type="paragraph" w:customStyle="1" w:styleId="ConsPlusNormal">
    <w:name w:val="ConsPlusNormal"/>
    <w:uiPriority w:val="99"/>
    <w:rsid w:val="00D47566"/>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8745195">
      <w:bodyDiv w:val="1"/>
      <w:marLeft w:val="0"/>
      <w:marRight w:val="0"/>
      <w:marTop w:val="0"/>
      <w:marBottom w:val="0"/>
      <w:divBdr>
        <w:top w:val="none" w:sz="0" w:space="0" w:color="auto"/>
        <w:left w:val="none" w:sz="0" w:space="0" w:color="auto"/>
        <w:bottom w:val="none" w:sz="0" w:space="0" w:color="auto"/>
        <w:right w:val="none" w:sz="0" w:space="0" w:color="auto"/>
      </w:divBdr>
    </w:div>
    <w:div w:id="60099309">
      <w:bodyDiv w:val="1"/>
      <w:marLeft w:val="0"/>
      <w:marRight w:val="0"/>
      <w:marTop w:val="0"/>
      <w:marBottom w:val="0"/>
      <w:divBdr>
        <w:top w:val="none" w:sz="0" w:space="0" w:color="auto"/>
        <w:left w:val="none" w:sz="0" w:space="0" w:color="auto"/>
        <w:bottom w:val="none" w:sz="0" w:space="0" w:color="auto"/>
        <w:right w:val="none" w:sz="0" w:space="0" w:color="auto"/>
      </w:divBdr>
    </w:div>
    <w:div w:id="195318482">
      <w:bodyDiv w:val="1"/>
      <w:marLeft w:val="0"/>
      <w:marRight w:val="0"/>
      <w:marTop w:val="0"/>
      <w:marBottom w:val="0"/>
      <w:divBdr>
        <w:top w:val="none" w:sz="0" w:space="0" w:color="auto"/>
        <w:left w:val="none" w:sz="0" w:space="0" w:color="auto"/>
        <w:bottom w:val="none" w:sz="0" w:space="0" w:color="auto"/>
        <w:right w:val="none" w:sz="0" w:space="0" w:color="auto"/>
      </w:divBdr>
    </w:div>
    <w:div w:id="215044061">
      <w:bodyDiv w:val="1"/>
      <w:marLeft w:val="0"/>
      <w:marRight w:val="0"/>
      <w:marTop w:val="0"/>
      <w:marBottom w:val="0"/>
      <w:divBdr>
        <w:top w:val="none" w:sz="0" w:space="0" w:color="auto"/>
        <w:left w:val="none" w:sz="0" w:space="0" w:color="auto"/>
        <w:bottom w:val="none" w:sz="0" w:space="0" w:color="auto"/>
        <w:right w:val="none" w:sz="0" w:space="0" w:color="auto"/>
      </w:divBdr>
    </w:div>
    <w:div w:id="269944247">
      <w:bodyDiv w:val="1"/>
      <w:marLeft w:val="0"/>
      <w:marRight w:val="0"/>
      <w:marTop w:val="0"/>
      <w:marBottom w:val="0"/>
      <w:divBdr>
        <w:top w:val="none" w:sz="0" w:space="0" w:color="auto"/>
        <w:left w:val="none" w:sz="0" w:space="0" w:color="auto"/>
        <w:bottom w:val="none" w:sz="0" w:space="0" w:color="auto"/>
        <w:right w:val="none" w:sz="0" w:space="0" w:color="auto"/>
      </w:divBdr>
    </w:div>
    <w:div w:id="313460791">
      <w:bodyDiv w:val="1"/>
      <w:marLeft w:val="0"/>
      <w:marRight w:val="0"/>
      <w:marTop w:val="0"/>
      <w:marBottom w:val="0"/>
      <w:divBdr>
        <w:top w:val="none" w:sz="0" w:space="0" w:color="auto"/>
        <w:left w:val="none" w:sz="0" w:space="0" w:color="auto"/>
        <w:bottom w:val="none" w:sz="0" w:space="0" w:color="auto"/>
        <w:right w:val="none" w:sz="0" w:space="0" w:color="auto"/>
      </w:divBdr>
    </w:div>
    <w:div w:id="575283501">
      <w:bodyDiv w:val="1"/>
      <w:marLeft w:val="0"/>
      <w:marRight w:val="0"/>
      <w:marTop w:val="0"/>
      <w:marBottom w:val="0"/>
      <w:divBdr>
        <w:top w:val="none" w:sz="0" w:space="0" w:color="auto"/>
        <w:left w:val="none" w:sz="0" w:space="0" w:color="auto"/>
        <w:bottom w:val="none" w:sz="0" w:space="0" w:color="auto"/>
        <w:right w:val="none" w:sz="0" w:space="0" w:color="auto"/>
      </w:divBdr>
    </w:div>
    <w:div w:id="575554733">
      <w:bodyDiv w:val="1"/>
      <w:marLeft w:val="0"/>
      <w:marRight w:val="0"/>
      <w:marTop w:val="0"/>
      <w:marBottom w:val="0"/>
      <w:divBdr>
        <w:top w:val="none" w:sz="0" w:space="0" w:color="auto"/>
        <w:left w:val="none" w:sz="0" w:space="0" w:color="auto"/>
        <w:bottom w:val="none" w:sz="0" w:space="0" w:color="auto"/>
        <w:right w:val="none" w:sz="0" w:space="0" w:color="auto"/>
      </w:divBdr>
    </w:div>
    <w:div w:id="703560703">
      <w:bodyDiv w:val="1"/>
      <w:marLeft w:val="0"/>
      <w:marRight w:val="0"/>
      <w:marTop w:val="0"/>
      <w:marBottom w:val="0"/>
      <w:divBdr>
        <w:top w:val="none" w:sz="0" w:space="0" w:color="auto"/>
        <w:left w:val="none" w:sz="0" w:space="0" w:color="auto"/>
        <w:bottom w:val="none" w:sz="0" w:space="0" w:color="auto"/>
        <w:right w:val="none" w:sz="0" w:space="0" w:color="auto"/>
      </w:divBdr>
    </w:div>
    <w:div w:id="734813794">
      <w:bodyDiv w:val="1"/>
      <w:marLeft w:val="0"/>
      <w:marRight w:val="0"/>
      <w:marTop w:val="0"/>
      <w:marBottom w:val="0"/>
      <w:divBdr>
        <w:top w:val="none" w:sz="0" w:space="0" w:color="auto"/>
        <w:left w:val="none" w:sz="0" w:space="0" w:color="auto"/>
        <w:bottom w:val="none" w:sz="0" w:space="0" w:color="auto"/>
        <w:right w:val="none" w:sz="0" w:space="0" w:color="auto"/>
      </w:divBdr>
    </w:div>
    <w:div w:id="741173381">
      <w:bodyDiv w:val="1"/>
      <w:marLeft w:val="0"/>
      <w:marRight w:val="0"/>
      <w:marTop w:val="0"/>
      <w:marBottom w:val="0"/>
      <w:divBdr>
        <w:top w:val="none" w:sz="0" w:space="0" w:color="auto"/>
        <w:left w:val="none" w:sz="0" w:space="0" w:color="auto"/>
        <w:bottom w:val="none" w:sz="0" w:space="0" w:color="auto"/>
        <w:right w:val="none" w:sz="0" w:space="0" w:color="auto"/>
      </w:divBdr>
    </w:div>
    <w:div w:id="796722205">
      <w:bodyDiv w:val="1"/>
      <w:marLeft w:val="0"/>
      <w:marRight w:val="0"/>
      <w:marTop w:val="0"/>
      <w:marBottom w:val="0"/>
      <w:divBdr>
        <w:top w:val="none" w:sz="0" w:space="0" w:color="auto"/>
        <w:left w:val="none" w:sz="0" w:space="0" w:color="auto"/>
        <w:bottom w:val="none" w:sz="0" w:space="0" w:color="auto"/>
        <w:right w:val="none" w:sz="0" w:space="0" w:color="auto"/>
      </w:divBdr>
    </w:div>
    <w:div w:id="946427676">
      <w:bodyDiv w:val="1"/>
      <w:marLeft w:val="0"/>
      <w:marRight w:val="0"/>
      <w:marTop w:val="0"/>
      <w:marBottom w:val="0"/>
      <w:divBdr>
        <w:top w:val="none" w:sz="0" w:space="0" w:color="auto"/>
        <w:left w:val="none" w:sz="0" w:space="0" w:color="auto"/>
        <w:bottom w:val="none" w:sz="0" w:space="0" w:color="auto"/>
        <w:right w:val="none" w:sz="0" w:space="0" w:color="auto"/>
      </w:divBdr>
    </w:div>
    <w:div w:id="1049379216">
      <w:bodyDiv w:val="1"/>
      <w:marLeft w:val="0"/>
      <w:marRight w:val="0"/>
      <w:marTop w:val="0"/>
      <w:marBottom w:val="0"/>
      <w:divBdr>
        <w:top w:val="none" w:sz="0" w:space="0" w:color="auto"/>
        <w:left w:val="none" w:sz="0" w:space="0" w:color="auto"/>
        <w:bottom w:val="none" w:sz="0" w:space="0" w:color="auto"/>
        <w:right w:val="none" w:sz="0" w:space="0" w:color="auto"/>
      </w:divBdr>
    </w:div>
    <w:div w:id="1099326844">
      <w:bodyDiv w:val="1"/>
      <w:marLeft w:val="0"/>
      <w:marRight w:val="0"/>
      <w:marTop w:val="0"/>
      <w:marBottom w:val="0"/>
      <w:divBdr>
        <w:top w:val="none" w:sz="0" w:space="0" w:color="auto"/>
        <w:left w:val="none" w:sz="0" w:space="0" w:color="auto"/>
        <w:bottom w:val="none" w:sz="0" w:space="0" w:color="auto"/>
        <w:right w:val="none" w:sz="0" w:space="0" w:color="auto"/>
      </w:divBdr>
    </w:div>
    <w:div w:id="1122772755">
      <w:bodyDiv w:val="1"/>
      <w:marLeft w:val="0"/>
      <w:marRight w:val="0"/>
      <w:marTop w:val="0"/>
      <w:marBottom w:val="0"/>
      <w:divBdr>
        <w:top w:val="none" w:sz="0" w:space="0" w:color="auto"/>
        <w:left w:val="none" w:sz="0" w:space="0" w:color="auto"/>
        <w:bottom w:val="none" w:sz="0" w:space="0" w:color="auto"/>
        <w:right w:val="none" w:sz="0" w:space="0" w:color="auto"/>
      </w:divBdr>
    </w:div>
    <w:div w:id="1184444670">
      <w:bodyDiv w:val="1"/>
      <w:marLeft w:val="0"/>
      <w:marRight w:val="0"/>
      <w:marTop w:val="0"/>
      <w:marBottom w:val="0"/>
      <w:divBdr>
        <w:top w:val="none" w:sz="0" w:space="0" w:color="auto"/>
        <w:left w:val="none" w:sz="0" w:space="0" w:color="auto"/>
        <w:bottom w:val="none" w:sz="0" w:space="0" w:color="auto"/>
        <w:right w:val="none" w:sz="0" w:space="0" w:color="auto"/>
      </w:divBdr>
    </w:div>
    <w:div w:id="1214930792">
      <w:bodyDiv w:val="1"/>
      <w:marLeft w:val="0"/>
      <w:marRight w:val="0"/>
      <w:marTop w:val="0"/>
      <w:marBottom w:val="0"/>
      <w:divBdr>
        <w:top w:val="none" w:sz="0" w:space="0" w:color="auto"/>
        <w:left w:val="none" w:sz="0" w:space="0" w:color="auto"/>
        <w:bottom w:val="none" w:sz="0" w:space="0" w:color="auto"/>
        <w:right w:val="none" w:sz="0" w:space="0" w:color="auto"/>
      </w:divBdr>
    </w:div>
    <w:div w:id="1277715096">
      <w:bodyDiv w:val="1"/>
      <w:marLeft w:val="0"/>
      <w:marRight w:val="0"/>
      <w:marTop w:val="0"/>
      <w:marBottom w:val="0"/>
      <w:divBdr>
        <w:top w:val="none" w:sz="0" w:space="0" w:color="auto"/>
        <w:left w:val="none" w:sz="0" w:space="0" w:color="auto"/>
        <w:bottom w:val="none" w:sz="0" w:space="0" w:color="auto"/>
        <w:right w:val="none" w:sz="0" w:space="0" w:color="auto"/>
      </w:divBdr>
    </w:div>
    <w:div w:id="1304500433">
      <w:bodyDiv w:val="1"/>
      <w:marLeft w:val="0"/>
      <w:marRight w:val="0"/>
      <w:marTop w:val="0"/>
      <w:marBottom w:val="0"/>
      <w:divBdr>
        <w:top w:val="none" w:sz="0" w:space="0" w:color="auto"/>
        <w:left w:val="none" w:sz="0" w:space="0" w:color="auto"/>
        <w:bottom w:val="none" w:sz="0" w:space="0" w:color="auto"/>
        <w:right w:val="none" w:sz="0" w:space="0" w:color="auto"/>
      </w:divBdr>
    </w:div>
    <w:div w:id="1366295138">
      <w:bodyDiv w:val="1"/>
      <w:marLeft w:val="0"/>
      <w:marRight w:val="0"/>
      <w:marTop w:val="0"/>
      <w:marBottom w:val="0"/>
      <w:divBdr>
        <w:top w:val="none" w:sz="0" w:space="0" w:color="auto"/>
        <w:left w:val="none" w:sz="0" w:space="0" w:color="auto"/>
        <w:bottom w:val="none" w:sz="0" w:space="0" w:color="auto"/>
        <w:right w:val="none" w:sz="0" w:space="0" w:color="auto"/>
      </w:divBdr>
    </w:div>
    <w:div w:id="1374770218">
      <w:bodyDiv w:val="1"/>
      <w:marLeft w:val="0"/>
      <w:marRight w:val="0"/>
      <w:marTop w:val="0"/>
      <w:marBottom w:val="0"/>
      <w:divBdr>
        <w:top w:val="none" w:sz="0" w:space="0" w:color="auto"/>
        <w:left w:val="none" w:sz="0" w:space="0" w:color="auto"/>
        <w:bottom w:val="none" w:sz="0" w:space="0" w:color="auto"/>
        <w:right w:val="none" w:sz="0" w:space="0" w:color="auto"/>
      </w:divBdr>
    </w:div>
    <w:div w:id="1393576855">
      <w:bodyDiv w:val="1"/>
      <w:marLeft w:val="0"/>
      <w:marRight w:val="0"/>
      <w:marTop w:val="0"/>
      <w:marBottom w:val="0"/>
      <w:divBdr>
        <w:top w:val="none" w:sz="0" w:space="0" w:color="auto"/>
        <w:left w:val="none" w:sz="0" w:space="0" w:color="auto"/>
        <w:bottom w:val="none" w:sz="0" w:space="0" w:color="auto"/>
        <w:right w:val="none" w:sz="0" w:space="0" w:color="auto"/>
      </w:divBdr>
    </w:div>
    <w:div w:id="1428769614">
      <w:bodyDiv w:val="1"/>
      <w:marLeft w:val="0"/>
      <w:marRight w:val="0"/>
      <w:marTop w:val="0"/>
      <w:marBottom w:val="0"/>
      <w:divBdr>
        <w:top w:val="none" w:sz="0" w:space="0" w:color="auto"/>
        <w:left w:val="none" w:sz="0" w:space="0" w:color="auto"/>
        <w:bottom w:val="none" w:sz="0" w:space="0" w:color="auto"/>
        <w:right w:val="none" w:sz="0" w:space="0" w:color="auto"/>
      </w:divBdr>
    </w:div>
    <w:div w:id="1529640884">
      <w:bodyDiv w:val="1"/>
      <w:marLeft w:val="0"/>
      <w:marRight w:val="0"/>
      <w:marTop w:val="0"/>
      <w:marBottom w:val="0"/>
      <w:divBdr>
        <w:top w:val="none" w:sz="0" w:space="0" w:color="auto"/>
        <w:left w:val="none" w:sz="0" w:space="0" w:color="auto"/>
        <w:bottom w:val="none" w:sz="0" w:space="0" w:color="auto"/>
        <w:right w:val="none" w:sz="0" w:space="0" w:color="auto"/>
      </w:divBdr>
    </w:div>
    <w:div w:id="1615400688">
      <w:bodyDiv w:val="1"/>
      <w:marLeft w:val="0"/>
      <w:marRight w:val="0"/>
      <w:marTop w:val="0"/>
      <w:marBottom w:val="0"/>
      <w:divBdr>
        <w:top w:val="none" w:sz="0" w:space="0" w:color="auto"/>
        <w:left w:val="none" w:sz="0" w:space="0" w:color="auto"/>
        <w:bottom w:val="none" w:sz="0" w:space="0" w:color="auto"/>
        <w:right w:val="none" w:sz="0" w:space="0" w:color="auto"/>
      </w:divBdr>
    </w:div>
    <w:div w:id="1626812737">
      <w:bodyDiv w:val="1"/>
      <w:marLeft w:val="0"/>
      <w:marRight w:val="0"/>
      <w:marTop w:val="0"/>
      <w:marBottom w:val="0"/>
      <w:divBdr>
        <w:top w:val="none" w:sz="0" w:space="0" w:color="auto"/>
        <w:left w:val="none" w:sz="0" w:space="0" w:color="auto"/>
        <w:bottom w:val="none" w:sz="0" w:space="0" w:color="auto"/>
        <w:right w:val="none" w:sz="0" w:space="0" w:color="auto"/>
      </w:divBdr>
    </w:div>
    <w:div w:id="1646398880">
      <w:bodyDiv w:val="1"/>
      <w:marLeft w:val="0"/>
      <w:marRight w:val="0"/>
      <w:marTop w:val="0"/>
      <w:marBottom w:val="0"/>
      <w:divBdr>
        <w:top w:val="none" w:sz="0" w:space="0" w:color="auto"/>
        <w:left w:val="none" w:sz="0" w:space="0" w:color="auto"/>
        <w:bottom w:val="none" w:sz="0" w:space="0" w:color="auto"/>
        <w:right w:val="none" w:sz="0" w:space="0" w:color="auto"/>
      </w:divBdr>
    </w:div>
    <w:div w:id="1729037443">
      <w:bodyDiv w:val="1"/>
      <w:marLeft w:val="0"/>
      <w:marRight w:val="0"/>
      <w:marTop w:val="0"/>
      <w:marBottom w:val="0"/>
      <w:divBdr>
        <w:top w:val="none" w:sz="0" w:space="0" w:color="auto"/>
        <w:left w:val="none" w:sz="0" w:space="0" w:color="auto"/>
        <w:bottom w:val="none" w:sz="0" w:space="0" w:color="auto"/>
        <w:right w:val="none" w:sz="0" w:space="0" w:color="auto"/>
      </w:divBdr>
    </w:div>
    <w:div w:id="1738553883">
      <w:bodyDiv w:val="1"/>
      <w:marLeft w:val="0"/>
      <w:marRight w:val="0"/>
      <w:marTop w:val="0"/>
      <w:marBottom w:val="0"/>
      <w:divBdr>
        <w:top w:val="none" w:sz="0" w:space="0" w:color="auto"/>
        <w:left w:val="none" w:sz="0" w:space="0" w:color="auto"/>
        <w:bottom w:val="none" w:sz="0" w:space="0" w:color="auto"/>
        <w:right w:val="none" w:sz="0" w:space="0" w:color="auto"/>
      </w:divBdr>
    </w:div>
    <w:div w:id="1787626003">
      <w:bodyDiv w:val="1"/>
      <w:marLeft w:val="0"/>
      <w:marRight w:val="0"/>
      <w:marTop w:val="0"/>
      <w:marBottom w:val="0"/>
      <w:divBdr>
        <w:top w:val="none" w:sz="0" w:space="0" w:color="auto"/>
        <w:left w:val="none" w:sz="0" w:space="0" w:color="auto"/>
        <w:bottom w:val="none" w:sz="0" w:space="0" w:color="auto"/>
        <w:right w:val="none" w:sz="0" w:space="0" w:color="auto"/>
      </w:divBdr>
    </w:div>
    <w:div w:id="1973444396">
      <w:bodyDiv w:val="1"/>
      <w:marLeft w:val="0"/>
      <w:marRight w:val="0"/>
      <w:marTop w:val="0"/>
      <w:marBottom w:val="0"/>
      <w:divBdr>
        <w:top w:val="none" w:sz="0" w:space="0" w:color="auto"/>
        <w:left w:val="none" w:sz="0" w:space="0" w:color="auto"/>
        <w:bottom w:val="none" w:sz="0" w:space="0" w:color="auto"/>
        <w:right w:val="none" w:sz="0" w:space="0" w:color="auto"/>
      </w:divBdr>
    </w:div>
    <w:div w:id="2071607568">
      <w:bodyDiv w:val="1"/>
      <w:marLeft w:val="0"/>
      <w:marRight w:val="0"/>
      <w:marTop w:val="0"/>
      <w:marBottom w:val="0"/>
      <w:divBdr>
        <w:top w:val="none" w:sz="0" w:space="0" w:color="auto"/>
        <w:left w:val="none" w:sz="0" w:space="0" w:color="auto"/>
        <w:bottom w:val="none" w:sz="0" w:space="0" w:color="auto"/>
        <w:right w:val="none" w:sz="0" w:space="0" w:color="auto"/>
      </w:divBdr>
    </w:div>
    <w:div w:id="2103672818">
      <w:bodyDiv w:val="1"/>
      <w:marLeft w:val="0"/>
      <w:marRight w:val="0"/>
      <w:marTop w:val="0"/>
      <w:marBottom w:val="0"/>
      <w:divBdr>
        <w:top w:val="none" w:sz="0" w:space="0" w:color="auto"/>
        <w:left w:val="none" w:sz="0" w:space="0" w:color="auto"/>
        <w:bottom w:val="none" w:sz="0" w:space="0" w:color="auto"/>
        <w:right w:val="none" w:sz="0" w:space="0" w:color="auto"/>
      </w:divBdr>
    </w:div>
    <w:div w:id="2106001498">
      <w:bodyDiv w:val="1"/>
      <w:marLeft w:val="0"/>
      <w:marRight w:val="0"/>
      <w:marTop w:val="0"/>
      <w:marBottom w:val="0"/>
      <w:divBdr>
        <w:top w:val="none" w:sz="0" w:space="0" w:color="auto"/>
        <w:left w:val="none" w:sz="0" w:space="0" w:color="auto"/>
        <w:bottom w:val="none" w:sz="0" w:space="0" w:color="auto"/>
        <w:right w:val="none" w:sz="0" w:space="0" w:color="auto"/>
      </w:divBdr>
    </w:div>
    <w:div w:id="21303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58B87-ABD0-4C0F-8BEC-66E963FE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11</Pages>
  <Words>4906</Words>
  <Characters>32550</Characters>
  <Application>Microsoft Office Word</Application>
  <DocSecurity>0</DocSecurity>
  <Lines>271</Lines>
  <Paragraphs>74</Paragraphs>
  <ScaleCrop>false</ScaleCrop>
  <HeadingPairs>
    <vt:vector size="2" baseType="variant">
      <vt:variant>
        <vt:lpstr>Название</vt:lpstr>
      </vt:variant>
      <vt:variant>
        <vt:i4>1</vt:i4>
      </vt:variant>
    </vt:vector>
  </HeadingPairs>
  <TitlesOfParts>
    <vt:vector size="1" baseType="lpstr">
      <vt:lpstr>АКТ</vt:lpstr>
    </vt:vector>
  </TitlesOfParts>
  <Company/>
  <LinksUpToDate>false</LinksUpToDate>
  <CharactersWithSpaces>37382</CharactersWithSpaces>
  <SharedDoc>false</SharedDoc>
  <HLinks>
    <vt:vector size="30" baseType="variant">
      <vt:variant>
        <vt:i4>7733305</vt:i4>
      </vt:variant>
      <vt:variant>
        <vt:i4>12</vt:i4>
      </vt:variant>
      <vt:variant>
        <vt:i4>0</vt:i4>
      </vt:variant>
      <vt:variant>
        <vt:i4>5</vt:i4>
      </vt:variant>
      <vt:variant>
        <vt:lpwstr>garantf1://12012604.160215/</vt:lpwstr>
      </vt:variant>
      <vt:variant>
        <vt:lpwstr/>
      </vt:variant>
      <vt:variant>
        <vt:i4>2818069</vt:i4>
      </vt:variant>
      <vt:variant>
        <vt:i4>9</vt:i4>
      </vt:variant>
      <vt:variant>
        <vt:i4>0</vt:i4>
      </vt:variant>
      <vt:variant>
        <vt:i4>5</vt:i4>
      </vt:variant>
      <vt:variant>
        <vt:lpwstr/>
      </vt:variant>
      <vt:variant>
        <vt:lpwstr>sub_3776</vt:lpwstr>
      </vt:variant>
      <vt:variant>
        <vt:i4>3080213</vt:i4>
      </vt:variant>
      <vt:variant>
        <vt:i4>6</vt:i4>
      </vt:variant>
      <vt:variant>
        <vt:i4>0</vt:i4>
      </vt:variant>
      <vt:variant>
        <vt:i4>5</vt:i4>
      </vt:variant>
      <vt:variant>
        <vt:lpwstr/>
      </vt:variant>
      <vt:variant>
        <vt:lpwstr>sub_3772</vt:lpwstr>
      </vt:variant>
      <vt:variant>
        <vt:i4>2883605</vt:i4>
      </vt:variant>
      <vt:variant>
        <vt:i4>3</vt:i4>
      </vt:variant>
      <vt:variant>
        <vt:i4>0</vt:i4>
      </vt:variant>
      <vt:variant>
        <vt:i4>5</vt:i4>
      </vt:variant>
      <vt:variant>
        <vt:lpwstr/>
      </vt:variant>
      <vt:variant>
        <vt:lpwstr>sub_3771</vt:lpwstr>
      </vt:variant>
      <vt:variant>
        <vt:i4>8126560</vt:i4>
      </vt:variant>
      <vt:variant>
        <vt:i4>0</vt:i4>
      </vt:variant>
      <vt:variant>
        <vt:i4>0</vt:i4>
      </vt:variant>
      <vt:variant>
        <vt:i4>5</vt:i4>
      </vt:variant>
      <vt:variant>
        <vt:lpwstr>consultantplus://offline/ref=EF2B6400CB76C14F7761B4C2AE83EC9363E09908845EED09CF187A30978636CEA0C395061CFB95BA5537K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Пользователь</dc:creator>
  <cp:lastModifiedBy>Заброда</cp:lastModifiedBy>
  <cp:revision>187</cp:revision>
  <cp:lastPrinted>2016-04-28T06:52:00Z</cp:lastPrinted>
  <dcterms:created xsi:type="dcterms:W3CDTF">2016-04-08T10:25:00Z</dcterms:created>
  <dcterms:modified xsi:type="dcterms:W3CDTF">2016-04-28T06:56:00Z</dcterms:modified>
</cp:coreProperties>
</file>