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069"/>
        <w:gridCol w:w="4394"/>
      </w:tblGrid>
      <w:tr w:rsidR="00144958" w:rsidRPr="001B5440" w:rsidTr="009213C6">
        <w:tc>
          <w:tcPr>
            <w:tcW w:w="3284" w:type="dxa"/>
          </w:tcPr>
          <w:p w:rsidR="00144958" w:rsidRPr="001B5440" w:rsidRDefault="00144958" w:rsidP="009213C6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  <w:tc>
          <w:tcPr>
            <w:tcW w:w="2069" w:type="dxa"/>
          </w:tcPr>
          <w:p w:rsidR="00144958" w:rsidRPr="001B5440" w:rsidRDefault="00144958" w:rsidP="009213C6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  <w:tc>
          <w:tcPr>
            <w:tcW w:w="4394" w:type="dxa"/>
          </w:tcPr>
          <w:p w:rsidR="00144958" w:rsidRPr="001B5440" w:rsidRDefault="00144958" w:rsidP="009213C6">
            <w:pPr>
              <w:tabs>
                <w:tab w:val="left" w:pos="2505"/>
              </w:tabs>
              <w:rPr>
                <w:b/>
                <w:i/>
              </w:rPr>
            </w:pPr>
            <w:r w:rsidRPr="001B5440">
              <w:rPr>
                <w:b/>
                <w:i/>
              </w:rPr>
              <w:t>Утверждаю</w:t>
            </w:r>
          </w:p>
          <w:p w:rsidR="00144958" w:rsidRPr="001B5440" w:rsidRDefault="00144958" w:rsidP="009213C6">
            <w:pPr>
              <w:tabs>
                <w:tab w:val="left" w:pos="2505"/>
              </w:tabs>
              <w:rPr>
                <w:b/>
                <w:i/>
              </w:rPr>
            </w:pPr>
            <w:r w:rsidRPr="001B5440">
              <w:rPr>
                <w:b/>
                <w:i/>
              </w:rPr>
              <w:t xml:space="preserve">председатель контрольно - счетной </w:t>
            </w:r>
          </w:p>
          <w:p w:rsidR="00144958" w:rsidRPr="001B5440" w:rsidRDefault="00144958" w:rsidP="009213C6">
            <w:pPr>
              <w:tabs>
                <w:tab w:val="left" w:pos="2505"/>
              </w:tabs>
              <w:rPr>
                <w:b/>
                <w:i/>
              </w:rPr>
            </w:pPr>
            <w:r w:rsidRPr="001B5440">
              <w:rPr>
                <w:b/>
                <w:i/>
              </w:rPr>
              <w:t>палаты Волгоградской области</w:t>
            </w:r>
          </w:p>
          <w:p w:rsidR="00144958" w:rsidRPr="001B5440" w:rsidRDefault="00144958" w:rsidP="009213C6">
            <w:pPr>
              <w:tabs>
                <w:tab w:val="left" w:pos="2505"/>
              </w:tabs>
              <w:rPr>
                <w:b/>
                <w:i/>
              </w:rPr>
            </w:pPr>
            <w:r w:rsidRPr="001B5440">
              <w:rPr>
                <w:b/>
                <w:i/>
              </w:rPr>
              <w:t>______________ И. А. Дьяченко</w:t>
            </w:r>
          </w:p>
          <w:p w:rsidR="00144958" w:rsidRPr="001B5440" w:rsidRDefault="00144958" w:rsidP="009213C6">
            <w:pPr>
              <w:tabs>
                <w:tab w:val="left" w:pos="250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« </w:t>
            </w:r>
            <w:r w:rsidR="005A6542">
              <w:rPr>
                <w:b/>
                <w:i/>
              </w:rPr>
              <w:t>05</w:t>
            </w:r>
            <w:r>
              <w:rPr>
                <w:b/>
                <w:i/>
              </w:rPr>
              <w:t xml:space="preserve"> </w:t>
            </w:r>
            <w:r w:rsidRPr="00C36C36">
              <w:rPr>
                <w:b/>
                <w:i/>
              </w:rPr>
              <w:t xml:space="preserve">»  </w:t>
            </w:r>
            <w:r w:rsidR="00A43941">
              <w:rPr>
                <w:b/>
                <w:i/>
              </w:rPr>
              <w:t>апреля</w:t>
            </w:r>
            <w:r w:rsidRPr="001B5440">
              <w:rPr>
                <w:b/>
                <w:i/>
              </w:rPr>
              <w:t xml:space="preserve">  2016 года </w:t>
            </w:r>
          </w:p>
          <w:p w:rsidR="00144958" w:rsidRPr="001B5440" w:rsidRDefault="00144958" w:rsidP="009213C6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</w:tr>
    </w:tbl>
    <w:p w:rsidR="00144958" w:rsidRDefault="00144958" w:rsidP="00144958">
      <w:pPr>
        <w:tabs>
          <w:tab w:val="left" w:pos="2505"/>
        </w:tabs>
        <w:jc w:val="center"/>
        <w:rPr>
          <w:b/>
          <w:i/>
        </w:rPr>
      </w:pPr>
    </w:p>
    <w:p w:rsidR="00144958" w:rsidRPr="001B5440" w:rsidRDefault="00144958" w:rsidP="00144958">
      <w:pPr>
        <w:tabs>
          <w:tab w:val="left" w:pos="2505"/>
        </w:tabs>
        <w:jc w:val="center"/>
        <w:rPr>
          <w:b/>
          <w:i/>
        </w:rPr>
      </w:pPr>
      <w:r w:rsidRPr="001B5440">
        <w:rPr>
          <w:b/>
          <w:i/>
        </w:rPr>
        <w:t>ЗАКЛЮЧЕНИЕ</w:t>
      </w:r>
    </w:p>
    <w:p w:rsidR="00144958" w:rsidRPr="00375D45" w:rsidRDefault="00144958" w:rsidP="00144958">
      <w:pPr>
        <w:jc w:val="center"/>
        <w:rPr>
          <w:b/>
          <w:i/>
        </w:rPr>
      </w:pPr>
      <w:r w:rsidRPr="001B5440">
        <w:rPr>
          <w:b/>
          <w:i/>
        </w:rPr>
        <w:t>о результатах внешней проверки бюджетной отчетности</w:t>
      </w:r>
      <w:r w:rsidRPr="001B5440">
        <w:rPr>
          <w:b/>
        </w:rPr>
        <w:t xml:space="preserve"> </w:t>
      </w:r>
      <w:r w:rsidRPr="001B5440">
        <w:rPr>
          <w:b/>
          <w:i/>
        </w:rPr>
        <w:t>и</w:t>
      </w:r>
      <w:r w:rsidRPr="001B5440">
        <w:rPr>
          <w:b/>
        </w:rPr>
        <w:t xml:space="preserve"> </w:t>
      </w:r>
      <w:r w:rsidRPr="001B5440">
        <w:rPr>
          <w:b/>
          <w:i/>
        </w:rPr>
        <w:t>отдельных вопросов исполнения</w:t>
      </w:r>
      <w:r w:rsidRPr="001B5440">
        <w:rPr>
          <w:b/>
        </w:rPr>
        <w:t xml:space="preserve"> областного бюджета</w:t>
      </w:r>
      <w:r w:rsidRPr="001B5440">
        <w:rPr>
          <w:b/>
          <w:i/>
        </w:rPr>
        <w:t xml:space="preserve"> главным администратором средств областного </w:t>
      </w:r>
      <w:r w:rsidRPr="00375D45">
        <w:rPr>
          <w:b/>
          <w:i/>
        </w:rPr>
        <w:t xml:space="preserve">бюджета – </w:t>
      </w:r>
      <w:r w:rsidR="00375D45" w:rsidRPr="00375D45">
        <w:rPr>
          <w:b/>
          <w:i/>
        </w:rPr>
        <w:t>комитетом по обеспечению деятельности мировых судей Волгоградской области</w:t>
      </w:r>
      <w:r w:rsidRPr="00375D45">
        <w:rPr>
          <w:b/>
          <w:i/>
        </w:rPr>
        <w:t xml:space="preserve"> за 2015 год</w:t>
      </w:r>
    </w:p>
    <w:p w:rsidR="00144958" w:rsidRPr="001B5440" w:rsidRDefault="00144958" w:rsidP="00144958">
      <w:pPr>
        <w:jc w:val="center"/>
        <w:rPr>
          <w:b/>
        </w:rPr>
      </w:pPr>
    </w:p>
    <w:p w:rsidR="00144958" w:rsidRPr="009213C6" w:rsidRDefault="00144958" w:rsidP="00144958">
      <w:pPr>
        <w:ind w:firstLine="708"/>
        <w:jc w:val="both"/>
      </w:pPr>
      <w:r w:rsidRPr="001B5440">
        <w:t>На основании статьи 264.4 Бюджетного Кодекса РФ (далее – БК РФ) и в соответствии с планом работы на 2016 год, утвержденным постановлением коллегии контрольно-счетной палаты Волгоградской области от</w:t>
      </w:r>
      <w:r w:rsidRPr="001B5440">
        <w:rPr>
          <w:sz w:val="28"/>
          <w:szCs w:val="28"/>
        </w:rPr>
        <w:t xml:space="preserve"> </w:t>
      </w:r>
      <w:r w:rsidRPr="001B5440">
        <w:t>29.12.2015 №34/1</w:t>
      </w:r>
      <w:r>
        <w:t>,</w:t>
      </w:r>
      <w:r w:rsidRPr="001B5440">
        <w:t xml:space="preserve"> проведена </w:t>
      </w:r>
      <w:r w:rsidR="00FA4F89">
        <w:t xml:space="preserve">камеральная </w:t>
      </w:r>
      <w:r w:rsidRPr="001B5440">
        <w:t xml:space="preserve">внешняя проверка бюджетной отчетности и отдельных вопросов исполнения областного бюджета за 2015 год главным администратором средств областного бюджета – </w:t>
      </w:r>
      <w:r w:rsidR="009213C6" w:rsidRPr="009213C6">
        <w:t>комитетом по обеспечению деятельности мировых судей Волгоградской области</w:t>
      </w:r>
      <w:r w:rsidRPr="009213C6">
        <w:t xml:space="preserve"> (далее - </w:t>
      </w:r>
      <w:r w:rsidR="009213C6">
        <w:t>Комитет</w:t>
      </w:r>
      <w:r w:rsidRPr="009213C6">
        <w:t>).</w:t>
      </w:r>
    </w:p>
    <w:p w:rsidR="00144958" w:rsidRDefault="00144958" w:rsidP="00144958">
      <w:pPr>
        <w:jc w:val="center"/>
        <w:rPr>
          <w:b/>
        </w:rPr>
      </w:pPr>
      <w:r w:rsidRPr="001B5440">
        <w:rPr>
          <w:b/>
        </w:rPr>
        <w:t>Общие сведения</w:t>
      </w:r>
    </w:p>
    <w:p w:rsidR="00144958" w:rsidRPr="001B5440" w:rsidRDefault="00144958" w:rsidP="0014495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Предельная штатная численность государственных гражданских служащих Волгоградской области, содержание которых осуществляется за счет средств областного бюджета, по </w:t>
      </w:r>
      <w:r w:rsidR="009213C6">
        <w:rPr>
          <w:rFonts w:ascii="Times New Roman" w:hAnsi="Times New Roman"/>
          <w:b w:val="0"/>
          <w:color w:val="auto"/>
          <w:sz w:val="24"/>
          <w:szCs w:val="24"/>
        </w:rPr>
        <w:t>Комитет</w:t>
      </w:r>
      <w:r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у утверждена Законом Волгоградской области от 20.11.2014 №151-ОД «Об областном бюджете на 2015 год и на плановый период 2016 и 2017 годов» (далее – Закон о бюджете на 2015 год) в количестве </w:t>
      </w:r>
      <w:r w:rsidR="009213C6">
        <w:rPr>
          <w:rFonts w:ascii="Times New Roman" w:hAnsi="Times New Roman"/>
          <w:b w:val="0"/>
          <w:color w:val="auto"/>
          <w:sz w:val="24"/>
          <w:szCs w:val="24"/>
        </w:rPr>
        <w:t>522</w:t>
      </w:r>
      <w:r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 единиц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, фактическая численность </w:t>
      </w:r>
      <w:r w:rsidR="009213C6">
        <w:rPr>
          <w:rFonts w:ascii="Times New Roman" w:hAnsi="Times New Roman"/>
          <w:b w:val="0"/>
          <w:color w:val="auto"/>
          <w:sz w:val="24"/>
          <w:szCs w:val="24"/>
        </w:rPr>
        <w:t>Комитет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а </w:t>
      </w:r>
      <w:r w:rsidR="009213C6">
        <w:rPr>
          <w:rFonts w:ascii="Times New Roman" w:hAnsi="Times New Roman"/>
          <w:b w:val="0"/>
          <w:color w:val="auto"/>
          <w:sz w:val="24"/>
          <w:szCs w:val="24"/>
        </w:rPr>
        <w:t>на конец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2015 год</w:t>
      </w:r>
      <w:r w:rsidR="009213C6">
        <w:rPr>
          <w:rFonts w:ascii="Times New Roman" w:hAnsi="Times New Roman"/>
          <w:b w:val="0"/>
          <w:color w:val="auto"/>
          <w:sz w:val="24"/>
          <w:szCs w:val="24"/>
        </w:rPr>
        <w:t>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составила </w:t>
      </w:r>
      <w:r w:rsidR="009213C6">
        <w:rPr>
          <w:rFonts w:ascii="Times New Roman" w:hAnsi="Times New Roman"/>
          <w:b w:val="0"/>
          <w:color w:val="auto"/>
          <w:sz w:val="24"/>
          <w:szCs w:val="24"/>
        </w:rPr>
        <w:t>507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единиц</w:t>
      </w:r>
      <w:r w:rsidRPr="001B5440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</w:p>
    <w:p w:rsidR="00144958" w:rsidRPr="001B5440" w:rsidRDefault="00144958" w:rsidP="00144958">
      <w:pPr>
        <w:ind w:firstLine="720"/>
        <w:jc w:val="both"/>
      </w:pPr>
      <w:r w:rsidRPr="001B5440">
        <w:t>На 01.01.201</w:t>
      </w:r>
      <w:r w:rsidR="004800AA">
        <w:t>6</w:t>
      </w:r>
      <w:r w:rsidRPr="001B5440">
        <w:t xml:space="preserve"> в состав получателей бюджетных средств, подведомственных </w:t>
      </w:r>
      <w:r w:rsidR="004800AA">
        <w:t>Комитет</w:t>
      </w:r>
      <w:r w:rsidRPr="001B5440">
        <w:t>у</w:t>
      </w:r>
      <w:r>
        <w:t>,</w:t>
      </w:r>
      <w:r w:rsidRPr="001B5440">
        <w:t xml:space="preserve"> входило государственное </w:t>
      </w:r>
      <w:r w:rsidR="004800AA">
        <w:t xml:space="preserve">казенное учреждение Волгоградской области «Государственное юридическое бюро Волгоградской </w:t>
      </w:r>
      <w:r w:rsidR="004800AA" w:rsidRPr="00DF6466">
        <w:t>области» (далее – Учреждение)</w:t>
      </w:r>
      <w:r w:rsidRPr="001B5440">
        <w:t xml:space="preserve">. </w:t>
      </w:r>
    </w:p>
    <w:p w:rsidR="00144958" w:rsidRPr="001B5440" w:rsidRDefault="00144958" w:rsidP="00144958">
      <w:pPr>
        <w:ind w:firstLine="720"/>
        <w:jc w:val="both"/>
      </w:pPr>
    </w:p>
    <w:p w:rsidR="00144958" w:rsidRPr="001B5440" w:rsidRDefault="00144958" w:rsidP="00144958">
      <w:pPr>
        <w:jc w:val="center"/>
        <w:rPr>
          <w:b/>
          <w:i/>
        </w:rPr>
      </w:pPr>
      <w:r w:rsidRPr="001B5440">
        <w:rPr>
          <w:b/>
          <w:i/>
        </w:rPr>
        <w:t xml:space="preserve">Бюджетная </w:t>
      </w:r>
      <w:r w:rsidR="00A43941">
        <w:rPr>
          <w:b/>
          <w:i/>
        </w:rPr>
        <w:t>отчётность</w:t>
      </w:r>
      <w:r w:rsidRPr="001B5440">
        <w:rPr>
          <w:b/>
          <w:i/>
        </w:rPr>
        <w:t>.</w:t>
      </w:r>
    </w:p>
    <w:p w:rsidR="00144958" w:rsidRPr="001B5440" w:rsidRDefault="00144958" w:rsidP="00144958">
      <w:pPr>
        <w:ind w:firstLine="720"/>
        <w:jc w:val="both"/>
      </w:pPr>
      <w:r w:rsidRPr="001B5440">
        <w:t xml:space="preserve">К проверке представлена отчетность, </w:t>
      </w:r>
      <w:r>
        <w:t>направленная</w:t>
      </w:r>
      <w:r w:rsidRPr="001B5440">
        <w:t xml:space="preserve"> </w:t>
      </w:r>
      <w:r w:rsidR="004800AA">
        <w:t>Комитето</w:t>
      </w:r>
      <w:r w:rsidRPr="001B5440">
        <w:t xml:space="preserve">м в </w:t>
      </w:r>
      <w:r w:rsidR="00FA4F89">
        <w:t>к</w:t>
      </w:r>
      <w:r w:rsidRPr="001B5440">
        <w:t>омитет финансов Волгоградской обла</w:t>
      </w:r>
      <w:r>
        <w:t xml:space="preserve">сти </w:t>
      </w:r>
      <w:r w:rsidR="00FF3B84">
        <w:t xml:space="preserve">(далее – Облфин) </w:t>
      </w:r>
      <w:r>
        <w:t xml:space="preserve">в составе, предусмотренном </w:t>
      </w:r>
      <w:r w:rsidRPr="001B5440">
        <w:t>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</w:t>
      </w:r>
      <w:r w:rsidR="00AD6FD4">
        <w:t xml:space="preserve"> Минфина России от 28.12.2010 №</w:t>
      </w:r>
      <w:r w:rsidRPr="001B5440">
        <w:t xml:space="preserve">191н (далее </w:t>
      </w:r>
      <w:r w:rsidR="004800AA">
        <w:t xml:space="preserve">- </w:t>
      </w:r>
      <w:r w:rsidR="00AD6FD4">
        <w:t>Инструкция №</w:t>
      </w:r>
      <w:r w:rsidRPr="001B5440">
        <w:t>191н).</w:t>
      </w:r>
      <w:r w:rsidR="00A43941">
        <w:t xml:space="preserve"> Сводная отчетность сформирована с учетом отчетности подведомственного учреждения и отчетности Комитета.</w:t>
      </w:r>
    </w:p>
    <w:p w:rsidR="00A43941" w:rsidRDefault="00A43941" w:rsidP="00A4394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результате визуальной проверки отчётности были установлены следующие нарушения:</w:t>
      </w:r>
    </w:p>
    <w:p w:rsidR="000631E6" w:rsidRDefault="000631E6" w:rsidP="00937731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>
        <w:rPr>
          <w:rFonts w:eastAsiaTheme="minorHAnsi"/>
          <w:lang w:eastAsia="en-US"/>
        </w:rPr>
        <w:t xml:space="preserve">В нарушение </w:t>
      </w:r>
      <w:r>
        <w:t>п.20 Инструкции №191н</w:t>
      </w:r>
      <w:r w:rsidR="00636D9E">
        <w:t xml:space="preserve"> Комитетом и Учреждением в «</w:t>
      </w:r>
      <w:r w:rsidR="00636D9E" w:rsidRPr="00EA344B">
        <w:rPr>
          <w:rFonts w:eastAsiaTheme="minorHAnsi"/>
          <w:lang w:eastAsia="en-US"/>
        </w:rPr>
        <w:t>Справке о наличии имущества и обязательств на забалансовых счетах</w:t>
      </w:r>
      <w:r w:rsidR="00636D9E">
        <w:rPr>
          <w:rFonts w:eastAsiaTheme="minorHAnsi"/>
          <w:lang w:eastAsia="en-US"/>
        </w:rPr>
        <w:t>»</w:t>
      </w:r>
      <w:r w:rsidR="00636D9E" w:rsidRPr="00EA344B">
        <w:rPr>
          <w:rFonts w:eastAsiaTheme="minorHAnsi"/>
          <w:lang w:eastAsia="en-US"/>
        </w:rPr>
        <w:t xml:space="preserve"> (ф. 0503130) по счетам 17 и 18</w:t>
      </w:r>
      <w:r w:rsidR="00636D9E">
        <w:rPr>
          <w:rFonts w:eastAsiaTheme="minorHAnsi"/>
          <w:lang w:eastAsia="en-US"/>
        </w:rPr>
        <w:t xml:space="preserve"> не отражено </w:t>
      </w:r>
      <w:r w:rsidR="00636D9E" w:rsidRPr="00EA344B">
        <w:rPr>
          <w:rFonts w:eastAsiaTheme="minorHAnsi"/>
          <w:lang w:eastAsia="en-US"/>
        </w:rPr>
        <w:t>поступление и выбытие денежных средств</w:t>
      </w:r>
      <w:r w:rsidR="00636D9E">
        <w:rPr>
          <w:rFonts w:eastAsiaTheme="minorHAnsi"/>
          <w:lang w:eastAsia="en-US"/>
        </w:rPr>
        <w:t xml:space="preserve">, то есть искажение </w:t>
      </w:r>
      <w:r w:rsidR="00636D9E" w:rsidRPr="00043EDF">
        <w:rPr>
          <w:rFonts w:eastAsiaTheme="minorHAnsi"/>
          <w:lang w:eastAsia="en-US"/>
        </w:rPr>
        <w:t xml:space="preserve">строк </w:t>
      </w:r>
      <w:r w:rsidR="00636D9E">
        <w:t>170, 172, 173, 180, 181, 182 формы отчетности 0503130 составило 100 процентов</w:t>
      </w:r>
      <w:r w:rsidR="00636D9E">
        <w:rPr>
          <w:rFonts w:eastAsiaTheme="minorHAnsi"/>
          <w:lang w:eastAsia="en-US"/>
        </w:rPr>
        <w:t xml:space="preserve">. Указанное нарушение допущено в результате неправильного осуществления </w:t>
      </w:r>
      <w:r w:rsidR="00636D9E">
        <w:t>аналитического учета поступлений и выбытия денежных средств на забалансовых счетах 17 и 18 в нарушение пунктов 365 и 367 п</w:t>
      </w:r>
      <w:r w:rsidR="00636D9E" w:rsidRPr="00043EDF">
        <w:rPr>
          <w:rFonts w:eastAsiaTheme="minorHAnsi"/>
          <w:lang w:eastAsia="en-US"/>
        </w:rPr>
        <w:t>риказа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№157н)</w:t>
      </w:r>
      <w:r w:rsidR="00636D9E">
        <w:rPr>
          <w:rFonts w:eastAsiaTheme="minorHAnsi"/>
          <w:lang w:eastAsia="en-US"/>
        </w:rPr>
        <w:t>.</w:t>
      </w:r>
    </w:p>
    <w:p w:rsidR="00937731" w:rsidRDefault="00937731" w:rsidP="00937731">
      <w:pPr>
        <w:pStyle w:val="a3"/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В ходе проверки нарушение устранено, 21.03.2016 Учреждением </w:t>
      </w:r>
      <w:r w:rsidR="00AD6FD4">
        <w:t xml:space="preserve">в Комитет </w:t>
      </w:r>
      <w:r>
        <w:t xml:space="preserve">представлена уточненная </w:t>
      </w:r>
      <w:r w:rsidR="00401B66">
        <w:t>«</w:t>
      </w:r>
      <w:r>
        <w:t>Справка о наличии имущества и обязательств на забалансовых счетах</w:t>
      </w:r>
      <w:r w:rsidR="00401B66">
        <w:t>»</w:t>
      </w:r>
      <w:r>
        <w:t xml:space="preserve"> (ф.0503130), Комитетом 21.03.2016 </w:t>
      </w:r>
      <w:r w:rsidR="00FF3B84">
        <w:t>уточненная</w:t>
      </w:r>
      <w:r>
        <w:t xml:space="preserve"> форма представлена в </w:t>
      </w:r>
      <w:r w:rsidR="00FF3B84">
        <w:t xml:space="preserve">Облфин. </w:t>
      </w:r>
    </w:p>
    <w:p w:rsidR="00FA4F89" w:rsidRDefault="00AD6FD4" w:rsidP="00DC205A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>
        <w:t xml:space="preserve">В нарушение п.163 Инструкции 191н в «Сведениях об исполнении бюджета» (ф.0503164) в разделе «Доходы бюджета» не отражены </w:t>
      </w:r>
      <w:r w:rsidR="00B22A51">
        <w:t xml:space="preserve">фактические </w:t>
      </w:r>
      <w:r>
        <w:t>показатели</w:t>
      </w:r>
      <w:r w:rsidR="00FA4F89">
        <w:t xml:space="preserve"> по субвенции на осуществление полномочий по составлению списков кандидатов в присяжные заседатели федеральных судов общей юрисдикции в РФ на 2015 год в размере 348,9 тыс. руб.</w:t>
      </w:r>
      <w:r w:rsidR="00FA4F89" w:rsidRPr="00FA4F89">
        <w:t xml:space="preserve"> </w:t>
      </w:r>
      <w:r w:rsidR="00FA4F89">
        <w:t>при отсутствии прогнозных назначений.</w:t>
      </w:r>
      <w:r w:rsidR="00FA4F89" w:rsidRPr="00FA4F89">
        <w:t xml:space="preserve"> </w:t>
      </w:r>
      <w:r w:rsidR="00FA4F89" w:rsidRPr="00117E3F">
        <w:t xml:space="preserve">Согласно пояснениям Комитета ф.0503164 </w:t>
      </w:r>
      <w:r w:rsidR="00FA4F89">
        <w:t>формируется в программе «БАРС» автоматически, не учитывая положения п. 163 Инструкции 191н.</w:t>
      </w:r>
    </w:p>
    <w:p w:rsidR="00DC205A" w:rsidRPr="00DC205A" w:rsidRDefault="00DC205A" w:rsidP="00DC205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94BA1" w:rsidRPr="00AA5493" w:rsidRDefault="00C94BA1" w:rsidP="00C94BA1">
      <w:pPr>
        <w:ind w:firstLine="709"/>
        <w:jc w:val="both"/>
      </w:pPr>
      <w:r w:rsidRPr="00AA5493">
        <w:t xml:space="preserve">Согласно информации, представленной в сводной бюджетной отчетности, </w:t>
      </w:r>
      <w:r>
        <w:t>Комитет</w:t>
      </w:r>
      <w:r w:rsidRPr="00AA5493">
        <w:t xml:space="preserve"> имеет следующие обобщенные финансовые показатели деятельности.</w:t>
      </w:r>
    </w:p>
    <w:p w:rsidR="00C94BA1" w:rsidRPr="00AA5493" w:rsidRDefault="00C94BA1" w:rsidP="00C94BA1">
      <w:pPr>
        <w:autoSpaceDE w:val="0"/>
        <w:autoSpaceDN w:val="0"/>
        <w:adjustRightInd w:val="0"/>
        <w:ind w:firstLine="720"/>
        <w:jc w:val="both"/>
      </w:pPr>
      <w:r w:rsidRPr="00AA5493">
        <w:t xml:space="preserve">Согласно сводному балансу </w:t>
      </w:r>
      <w:r>
        <w:t>Комитета</w:t>
      </w:r>
      <w:r w:rsidRPr="00AA5493">
        <w:t xml:space="preserve"> (ф. 0503130) по состоянию на 01.01.201</w:t>
      </w:r>
      <w:r>
        <w:t>5</w:t>
      </w:r>
      <w:r w:rsidRPr="00AA5493">
        <w:t>:</w:t>
      </w:r>
    </w:p>
    <w:p w:rsidR="00C94BA1" w:rsidRDefault="00C94BA1" w:rsidP="00C94BA1">
      <w:pPr>
        <w:autoSpaceDE w:val="0"/>
        <w:autoSpaceDN w:val="0"/>
        <w:adjustRightInd w:val="0"/>
        <w:ind w:firstLine="709"/>
        <w:jc w:val="both"/>
      </w:pPr>
      <w:r w:rsidRPr="00AA5493">
        <w:rPr>
          <w:i/>
          <w:u w:val="single"/>
        </w:rPr>
        <w:t xml:space="preserve">-нефинансовые </w:t>
      </w:r>
      <w:r w:rsidRPr="006C408B">
        <w:rPr>
          <w:i/>
          <w:u w:val="single"/>
        </w:rPr>
        <w:t>активы</w:t>
      </w:r>
      <w:r w:rsidRPr="006C408B">
        <w:t xml:space="preserve"> – </w:t>
      </w:r>
      <w:r>
        <w:t xml:space="preserve">63 200,8 </w:t>
      </w:r>
      <w:r w:rsidRPr="006C408B">
        <w:t xml:space="preserve">тыс. руб. – </w:t>
      </w:r>
      <w:r>
        <w:t>увеличились</w:t>
      </w:r>
      <w:r w:rsidRPr="006C408B">
        <w:t xml:space="preserve"> за 201</w:t>
      </w:r>
      <w:r>
        <w:t>5</w:t>
      </w:r>
      <w:r w:rsidRPr="006C408B">
        <w:t xml:space="preserve"> год на </w:t>
      </w:r>
      <w:r>
        <w:t xml:space="preserve">255,9 </w:t>
      </w:r>
      <w:r w:rsidRPr="006C408B">
        <w:t xml:space="preserve">тыс. </w:t>
      </w:r>
      <w:r w:rsidRPr="007052B8">
        <w:t xml:space="preserve">руб., или на </w:t>
      </w:r>
      <w:r>
        <w:t>0,4</w:t>
      </w:r>
      <w:r w:rsidRPr="007052B8">
        <w:t xml:space="preserve"> % </w:t>
      </w:r>
      <w:r w:rsidRPr="009714DC">
        <w:t>в основном за счет</w:t>
      </w:r>
      <w:r>
        <w:t xml:space="preserve"> </w:t>
      </w:r>
      <w:r w:rsidR="00F57C46">
        <w:t>увеличения стоимости иного движимого имущества (закупка мебели, оргтехники для обеспечения деятельности мировых судей)</w:t>
      </w:r>
      <w:r w:rsidRPr="007052B8">
        <w:t>;</w:t>
      </w:r>
    </w:p>
    <w:p w:rsidR="00C94BA1" w:rsidRPr="0033489F" w:rsidRDefault="00C94BA1" w:rsidP="00C94BA1">
      <w:pPr>
        <w:autoSpaceDE w:val="0"/>
        <w:autoSpaceDN w:val="0"/>
        <w:adjustRightInd w:val="0"/>
        <w:ind w:firstLine="709"/>
        <w:jc w:val="both"/>
      </w:pPr>
      <w:r w:rsidRPr="0033489F">
        <w:rPr>
          <w:i/>
          <w:u w:val="single"/>
        </w:rPr>
        <w:t>-финансовые активы</w:t>
      </w:r>
      <w:r w:rsidRPr="0033489F">
        <w:t xml:space="preserve"> – </w:t>
      </w:r>
      <w:r>
        <w:t>7 074,2</w:t>
      </w:r>
      <w:r w:rsidRPr="0033489F">
        <w:t xml:space="preserve"> тыс. руб. – </w:t>
      </w:r>
      <w:r>
        <w:t xml:space="preserve">увеличились на </w:t>
      </w:r>
      <w:r w:rsidRPr="000E2C2E">
        <w:t>3</w:t>
      </w:r>
      <w:r>
        <w:t xml:space="preserve"> 575,9 </w:t>
      </w:r>
      <w:r w:rsidRPr="0033489F">
        <w:t xml:space="preserve">тыс. руб., или </w:t>
      </w:r>
      <w:r>
        <w:t xml:space="preserve">в 2 раза в </w:t>
      </w:r>
      <w:r w:rsidRPr="007052B8">
        <w:t>основном за счёт увеличения дебиторской задолженности</w:t>
      </w:r>
      <w:r>
        <w:t xml:space="preserve"> по выданным авансам за ГСМ (в 7 раз) и увеличения суммы денежных документов (марки - в 12,5 раз)</w:t>
      </w:r>
      <w:r w:rsidRPr="007052B8">
        <w:t>;</w:t>
      </w:r>
    </w:p>
    <w:p w:rsidR="00C94BA1" w:rsidRDefault="00C94BA1" w:rsidP="00C94BA1">
      <w:pPr>
        <w:autoSpaceDE w:val="0"/>
        <w:autoSpaceDN w:val="0"/>
        <w:adjustRightInd w:val="0"/>
        <w:ind w:firstLine="709"/>
        <w:jc w:val="both"/>
      </w:pPr>
      <w:r w:rsidRPr="001345CC">
        <w:rPr>
          <w:i/>
          <w:u w:val="single"/>
        </w:rPr>
        <w:t>-</w:t>
      </w:r>
      <w:r w:rsidRPr="009A2160">
        <w:rPr>
          <w:i/>
          <w:u w:val="single"/>
        </w:rPr>
        <w:t>обязательства</w:t>
      </w:r>
      <w:r w:rsidRPr="009A2160">
        <w:t xml:space="preserve"> – </w:t>
      </w:r>
      <w:r>
        <w:t>8 047,6</w:t>
      </w:r>
      <w:r w:rsidRPr="009A2160">
        <w:t xml:space="preserve"> тыс. руб. – </w:t>
      </w:r>
      <w:r>
        <w:t>уменьшились</w:t>
      </w:r>
      <w:r w:rsidRPr="009A2160">
        <w:t xml:space="preserve"> на </w:t>
      </w:r>
      <w:r>
        <w:t>6 449,1</w:t>
      </w:r>
      <w:r w:rsidRPr="009A2160">
        <w:t xml:space="preserve">тыс. руб., или </w:t>
      </w:r>
      <w:r w:rsidR="00AD6FD4">
        <w:t xml:space="preserve">на </w:t>
      </w:r>
      <w:r>
        <w:t>44,5% за счёт сокращения кредиторской задолженности</w:t>
      </w:r>
      <w:r w:rsidRPr="009A2160">
        <w:t>.</w:t>
      </w:r>
    </w:p>
    <w:p w:rsidR="00144958" w:rsidRPr="006676DE" w:rsidRDefault="00144958" w:rsidP="00144958">
      <w:pPr>
        <w:autoSpaceDE w:val="0"/>
        <w:autoSpaceDN w:val="0"/>
        <w:adjustRightInd w:val="0"/>
        <w:ind w:firstLine="360"/>
        <w:jc w:val="center"/>
        <w:rPr>
          <w:bCs/>
          <w:i/>
        </w:rPr>
      </w:pPr>
      <w:r w:rsidRPr="006676DE">
        <w:rPr>
          <w:b/>
          <w:i/>
        </w:rPr>
        <w:t>Исполнение плановых назначений по закрепленным доходам</w:t>
      </w:r>
    </w:p>
    <w:p w:rsidR="00C94BA1" w:rsidRDefault="00144958" w:rsidP="00C94BA1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6676DE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Законом об областном бюджете на 2015 год </w:t>
      </w:r>
      <w:r w:rsidR="00C94BA1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Комитет</w:t>
      </w:r>
      <w:r w:rsidRPr="006676DE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определен главным администратором доходов областного бюджета. </w:t>
      </w:r>
      <w:bookmarkStart w:id="0" w:name="OLE_LINK2"/>
      <w:r w:rsidR="00C94BA1" w:rsidRPr="001345C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Данные об администрируемых </w:t>
      </w:r>
      <w:r w:rsidR="00C94BA1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Комитетом</w:t>
      </w:r>
      <w:r w:rsidR="00C94BA1" w:rsidRPr="001345C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доходах и </w:t>
      </w:r>
      <w:r w:rsidR="00AD6FD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их </w:t>
      </w:r>
      <w:r w:rsidR="00C94BA1" w:rsidRPr="001345C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фактическом поступлении за 201</w:t>
      </w:r>
      <w:r w:rsidR="00C94BA1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5</w:t>
      </w:r>
      <w:r w:rsidR="00C94BA1" w:rsidRPr="001345C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год отражены в таблице.</w:t>
      </w:r>
    </w:p>
    <w:p w:rsidR="00C94BA1" w:rsidRPr="00F81F4C" w:rsidRDefault="00C94BA1" w:rsidP="00C94BA1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F81F4C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F81F4C">
        <w:rPr>
          <w:i/>
          <w:sz w:val="20"/>
          <w:szCs w:val="20"/>
        </w:rPr>
        <w:t>тыс. руб.</w:t>
      </w:r>
    </w:p>
    <w:tbl>
      <w:tblPr>
        <w:tblW w:w="9787" w:type="dxa"/>
        <w:tblLook w:val="04A0"/>
      </w:tblPr>
      <w:tblGrid>
        <w:gridCol w:w="5968"/>
        <w:gridCol w:w="1320"/>
        <w:gridCol w:w="1208"/>
        <w:gridCol w:w="1291"/>
      </w:tblGrid>
      <w:tr w:rsidR="00C94BA1" w:rsidRPr="00FE6629" w:rsidTr="000C3E09">
        <w:trPr>
          <w:trHeight w:val="230"/>
        </w:trPr>
        <w:tc>
          <w:tcPr>
            <w:tcW w:w="59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FE6629" w:rsidRDefault="00C94BA1" w:rsidP="000C3E09">
            <w:pPr>
              <w:jc w:val="center"/>
              <w:rPr>
                <w:b/>
                <w:sz w:val="20"/>
                <w:szCs w:val="20"/>
              </w:rPr>
            </w:pPr>
            <w:r w:rsidRPr="00FE662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FE6629" w:rsidRDefault="00C94BA1" w:rsidP="000C3E09">
            <w:pPr>
              <w:jc w:val="center"/>
              <w:rPr>
                <w:b/>
                <w:sz w:val="20"/>
                <w:szCs w:val="20"/>
              </w:rPr>
            </w:pPr>
            <w:r w:rsidRPr="00FE6629">
              <w:rPr>
                <w:b/>
                <w:sz w:val="20"/>
                <w:szCs w:val="20"/>
              </w:rPr>
              <w:t>Утвержден</w:t>
            </w:r>
            <w:r w:rsidRPr="00F81F4C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12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FE6629" w:rsidRDefault="00C94BA1" w:rsidP="000C3E09">
            <w:pPr>
              <w:jc w:val="center"/>
              <w:rPr>
                <w:b/>
                <w:sz w:val="20"/>
                <w:szCs w:val="20"/>
              </w:rPr>
            </w:pPr>
            <w:r w:rsidRPr="00FE6629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Pr="00FE6629" w:rsidRDefault="00C94BA1" w:rsidP="000C3E09">
            <w:pPr>
              <w:jc w:val="center"/>
              <w:rPr>
                <w:b/>
                <w:sz w:val="20"/>
                <w:szCs w:val="20"/>
              </w:rPr>
            </w:pPr>
            <w:r w:rsidRPr="00FE6629">
              <w:rPr>
                <w:b/>
                <w:sz w:val="20"/>
                <w:szCs w:val="20"/>
              </w:rPr>
              <w:t>%% исполнения</w:t>
            </w:r>
          </w:p>
        </w:tc>
      </w:tr>
      <w:tr w:rsidR="00C94BA1" w:rsidRPr="00FE6629" w:rsidTr="000C3E09">
        <w:trPr>
          <w:trHeight w:val="230"/>
        </w:trPr>
        <w:tc>
          <w:tcPr>
            <w:tcW w:w="59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BA1" w:rsidRPr="00FE6629" w:rsidRDefault="00C94BA1" w:rsidP="000C3E0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4BA1" w:rsidRPr="00FE6629" w:rsidRDefault="00C94BA1" w:rsidP="000C3E09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4BA1" w:rsidRPr="00FE6629" w:rsidRDefault="00C94BA1" w:rsidP="000C3E09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BA1" w:rsidRPr="00FE6629" w:rsidRDefault="00C94BA1" w:rsidP="000C3E09">
            <w:pPr>
              <w:rPr>
                <w:sz w:val="20"/>
                <w:szCs w:val="20"/>
              </w:rPr>
            </w:pPr>
          </w:p>
        </w:tc>
      </w:tr>
      <w:tr w:rsidR="00C94BA1" w:rsidRPr="00FE6629" w:rsidTr="000C3E09">
        <w:trPr>
          <w:trHeight w:val="255"/>
        </w:trPr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Pr="00FE6629" w:rsidRDefault="00C94BA1" w:rsidP="000C3E09">
            <w:pPr>
              <w:rPr>
                <w:b/>
                <w:bCs/>
                <w:sz w:val="20"/>
                <w:szCs w:val="20"/>
              </w:rPr>
            </w:pPr>
            <w:r w:rsidRPr="00FE6629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FE6629" w:rsidRDefault="00C94BA1" w:rsidP="000C3E0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688,2</w:t>
            </w:r>
          </w:p>
        </w:tc>
        <w:tc>
          <w:tcPr>
            <w:tcW w:w="120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FE6629" w:rsidRDefault="00C94BA1" w:rsidP="000C3E0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939,7</w:t>
            </w:r>
          </w:p>
        </w:tc>
        <w:tc>
          <w:tcPr>
            <w:tcW w:w="129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FE6629" w:rsidRDefault="00C94BA1" w:rsidP="000C3E0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136,5%</w:t>
            </w:r>
          </w:p>
        </w:tc>
      </w:tr>
      <w:tr w:rsidR="00C94BA1" w:rsidRPr="00FE6629" w:rsidTr="000C3E09">
        <w:trPr>
          <w:trHeight w:val="255"/>
        </w:trPr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Pr="00FE6629" w:rsidRDefault="00C94BA1" w:rsidP="000C3E09">
            <w:pPr>
              <w:rPr>
                <w:i/>
                <w:sz w:val="20"/>
                <w:szCs w:val="20"/>
              </w:rPr>
            </w:pPr>
            <w:r w:rsidRPr="00FE6629">
              <w:rPr>
                <w:i/>
                <w:sz w:val="20"/>
                <w:szCs w:val="20"/>
              </w:rPr>
              <w:t xml:space="preserve">   в том числе: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FE6629" w:rsidRDefault="00C94BA1" w:rsidP="000C3E09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FE6629" w:rsidRDefault="00C94BA1" w:rsidP="000C3E09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FE6629" w:rsidRDefault="00C94BA1" w:rsidP="000C3E09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C94BA1" w:rsidRPr="00975624" w:rsidTr="000C3E09">
        <w:trPr>
          <w:trHeight w:val="255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Pr="00975624" w:rsidRDefault="00C94BA1" w:rsidP="000C3E09">
            <w:pPr>
              <w:rPr>
                <w:b/>
                <w:i/>
                <w:sz w:val="20"/>
                <w:szCs w:val="20"/>
              </w:rPr>
            </w:pPr>
            <w:r w:rsidRPr="00975624">
              <w:rPr>
                <w:b/>
                <w:i/>
                <w:sz w:val="20"/>
                <w:szCs w:val="20"/>
              </w:rPr>
              <w:t>Налоговые и неналоговые доходы (803 1 00 00000 00 0000 000)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975624" w:rsidRDefault="00C94BA1" w:rsidP="000C3E09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975624">
              <w:rPr>
                <w:b/>
                <w:i/>
                <w:color w:val="000000"/>
                <w:sz w:val="20"/>
                <w:szCs w:val="20"/>
              </w:rPr>
              <w:t>688,2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975624" w:rsidRDefault="00C94BA1" w:rsidP="000C3E09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975624">
              <w:rPr>
                <w:b/>
                <w:i/>
                <w:color w:val="000000"/>
                <w:sz w:val="20"/>
                <w:szCs w:val="20"/>
              </w:rPr>
              <w:t>590,8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975624" w:rsidRDefault="00C94BA1" w:rsidP="000C3E09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975624">
              <w:rPr>
                <w:b/>
                <w:i/>
                <w:color w:val="000000"/>
                <w:sz w:val="20"/>
                <w:szCs w:val="20"/>
              </w:rPr>
              <w:t>85,8%</w:t>
            </w:r>
          </w:p>
        </w:tc>
      </w:tr>
      <w:tr w:rsidR="00C94BA1" w:rsidRPr="00FE6629" w:rsidTr="000C3E09">
        <w:trPr>
          <w:trHeight w:val="510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Pr="000835D7" w:rsidRDefault="00C94BA1" w:rsidP="000C3E09">
            <w:pPr>
              <w:rPr>
                <w:sz w:val="20"/>
                <w:szCs w:val="18"/>
              </w:rPr>
            </w:pPr>
            <w:r w:rsidRPr="000835D7">
              <w:rPr>
                <w:sz w:val="20"/>
                <w:szCs w:val="18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  <w:p w:rsidR="00C94BA1" w:rsidRPr="000835D7" w:rsidRDefault="00C94BA1" w:rsidP="000C3E09">
            <w:pPr>
              <w:rPr>
                <w:sz w:val="20"/>
                <w:szCs w:val="20"/>
              </w:rPr>
            </w:pPr>
            <w:r w:rsidRPr="000835D7">
              <w:rPr>
                <w:sz w:val="20"/>
                <w:szCs w:val="20"/>
              </w:rPr>
              <w:t>(</w:t>
            </w:r>
            <w:r w:rsidRPr="000835D7">
              <w:rPr>
                <w:i/>
                <w:sz w:val="20"/>
                <w:szCs w:val="20"/>
              </w:rPr>
              <w:t>803 1 11 05032 02 0000 120</w:t>
            </w:r>
            <w:r w:rsidRPr="000835D7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C94BA1" w:rsidRPr="00FE6629" w:rsidTr="000C3E09">
        <w:trPr>
          <w:trHeight w:val="178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Pr="000835D7" w:rsidRDefault="00C94BA1" w:rsidP="000C3E09">
            <w:pPr>
              <w:rPr>
                <w:sz w:val="20"/>
                <w:szCs w:val="20"/>
              </w:rPr>
            </w:pPr>
            <w:r w:rsidRPr="000835D7">
              <w:rPr>
                <w:sz w:val="20"/>
                <w:szCs w:val="18"/>
              </w:rP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 (</w:t>
            </w:r>
            <w:r w:rsidRPr="000835D7">
              <w:rPr>
                <w:i/>
                <w:sz w:val="20"/>
                <w:szCs w:val="18"/>
              </w:rPr>
              <w:t>803 1 13 02040 01 0000 130</w:t>
            </w:r>
            <w:r w:rsidRPr="000835D7">
              <w:rPr>
                <w:sz w:val="20"/>
                <w:szCs w:val="18"/>
              </w:rPr>
              <w:t>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95%</w:t>
            </w:r>
          </w:p>
        </w:tc>
      </w:tr>
      <w:tr w:rsidR="00C94BA1" w:rsidRPr="00FE6629" w:rsidTr="000C3E09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Pr="0007141D" w:rsidRDefault="00C94BA1" w:rsidP="000C3E09">
            <w:pPr>
              <w:rPr>
                <w:sz w:val="18"/>
                <w:szCs w:val="18"/>
              </w:rPr>
            </w:pPr>
            <w:r w:rsidRPr="000835D7">
              <w:rPr>
                <w:sz w:val="20"/>
                <w:szCs w:val="18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Федерации(</w:t>
            </w:r>
            <w:r w:rsidRPr="000835D7">
              <w:rPr>
                <w:i/>
                <w:sz w:val="20"/>
                <w:szCs w:val="18"/>
              </w:rPr>
              <w:t>803 1 13 02062 02 0000 130</w:t>
            </w:r>
            <w:r w:rsidRPr="000835D7">
              <w:rPr>
                <w:sz w:val="20"/>
                <w:szCs w:val="18"/>
              </w:rPr>
              <w:t>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86,2%</w:t>
            </w:r>
          </w:p>
        </w:tc>
      </w:tr>
      <w:tr w:rsidR="00C94BA1" w:rsidRPr="00FE6629" w:rsidTr="000C3E09">
        <w:trPr>
          <w:trHeight w:val="70"/>
        </w:trPr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Default="00C94BA1" w:rsidP="000C3E09">
            <w:pPr>
              <w:rPr>
                <w:sz w:val="20"/>
                <w:szCs w:val="20"/>
              </w:rPr>
            </w:pPr>
            <w:r w:rsidRPr="000835D7">
              <w:rPr>
                <w:sz w:val="20"/>
                <w:szCs w:val="18"/>
              </w:rPr>
              <w:t>Прочие доходы от компенсации затрат  бюджетов субъектов Российской Федерации (</w:t>
            </w:r>
            <w:r w:rsidRPr="000835D7">
              <w:rPr>
                <w:i/>
                <w:sz w:val="20"/>
                <w:szCs w:val="18"/>
              </w:rPr>
              <w:t>803 1 13 02992 02 0000 130</w:t>
            </w:r>
            <w:r w:rsidRPr="000835D7">
              <w:rPr>
                <w:sz w:val="20"/>
                <w:szCs w:val="18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EE1D7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65,7%</w:t>
            </w:r>
          </w:p>
        </w:tc>
      </w:tr>
      <w:tr w:rsidR="00C94BA1" w:rsidRPr="00FE6629" w:rsidTr="000C3E09">
        <w:trPr>
          <w:trHeight w:val="70"/>
        </w:trPr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Pr="000835D7" w:rsidRDefault="00C94BA1" w:rsidP="000C3E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Прочие поступления от денежных взысканий (штрафов) и иных сумм в возмещение ущерба, зачисляемого в бюджеты субъектов РФ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15,7%</w:t>
            </w:r>
          </w:p>
        </w:tc>
      </w:tr>
      <w:tr w:rsidR="00C94BA1" w:rsidRPr="00975624" w:rsidTr="000C3E09">
        <w:trPr>
          <w:trHeight w:val="70"/>
        </w:trPr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Pr="00975624" w:rsidRDefault="00C94BA1" w:rsidP="000C3E09">
            <w:pPr>
              <w:rPr>
                <w:b/>
                <w:i/>
                <w:sz w:val="20"/>
                <w:szCs w:val="18"/>
              </w:rPr>
            </w:pPr>
            <w:r w:rsidRPr="00975624">
              <w:rPr>
                <w:b/>
                <w:i/>
                <w:sz w:val="20"/>
                <w:szCs w:val="18"/>
              </w:rPr>
              <w:t>Безвозмездные поступления (803 2 00 00000 00 0000 000)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975624" w:rsidRDefault="00C94BA1" w:rsidP="000C3E09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975624">
              <w:rPr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975624" w:rsidRDefault="00C94BA1" w:rsidP="000C3E09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975624">
              <w:rPr>
                <w:b/>
                <w:i/>
                <w:color w:val="000000"/>
                <w:sz w:val="20"/>
                <w:szCs w:val="20"/>
              </w:rPr>
              <w:t>348,9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Pr="00975624" w:rsidRDefault="00C94BA1" w:rsidP="000C3E09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975624">
              <w:rPr>
                <w:b/>
                <w:i/>
                <w:color w:val="000000"/>
                <w:sz w:val="20"/>
                <w:szCs w:val="20"/>
              </w:rPr>
              <w:t>-</w:t>
            </w:r>
          </w:p>
        </w:tc>
      </w:tr>
      <w:tr w:rsidR="00C94BA1" w:rsidRPr="00FE6629" w:rsidTr="000C3E09">
        <w:trPr>
          <w:trHeight w:val="70"/>
        </w:trPr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Pr="00975624" w:rsidRDefault="00C94BA1" w:rsidP="000C3E09">
            <w:pPr>
              <w:rPr>
                <w:sz w:val="20"/>
                <w:szCs w:val="18"/>
              </w:rPr>
            </w:pPr>
            <w:r w:rsidRPr="00975624">
              <w:rPr>
                <w:sz w:val="20"/>
                <w:szCs w:val="18"/>
              </w:rPr>
              <w:t>Субвенции бюджетам субъектов РФ на составление (</w:t>
            </w:r>
            <w:r>
              <w:rPr>
                <w:sz w:val="20"/>
                <w:szCs w:val="18"/>
              </w:rPr>
              <w:t>и</w:t>
            </w:r>
            <w:r w:rsidRPr="00975624">
              <w:rPr>
                <w:sz w:val="20"/>
                <w:szCs w:val="18"/>
              </w:rPr>
              <w:t>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94BA1" w:rsidRDefault="00C94BA1" w:rsidP="000C3E0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139FF" w:rsidRDefault="00C94BA1" w:rsidP="00C94BA1">
      <w:pPr>
        <w:ind w:firstLine="708"/>
        <w:jc w:val="both"/>
      </w:pPr>
      <w:r w:rsidRPr="00072CDF">
        <w:t xml:space="preserve">Плановые назначения по закрепленным за </w:t>
      </w:r>
      <w:r>
        <w:t>Комитетом</w:t>
      </w:r>
      <w:r w:rsidRPr="00072CDF">
        <w:t xml:space="preserve"> доходам исполнены в сумме </w:t>
      </w:r>
      <w:r>
        <w:t xml:space="preserve">939,7 </w:t>
      </w:r>
      <w:r w:rsidRPr="00072CDF">
        <w:t xml:space="preserve">тыс. руб., или на </w:t>
      </w:r>
      <w:r>
        <w:t>136,5</w:t>
      </w:r>
      <w:r w:rsidR="001139FF">
        <w:t>%, их</w:t>
      </w:r>
      <w:r w:rsidRPr="00072CDF">
        <w:t xml:space="preserve"> </w:t>
      </w:r>
      <w:r w:rsidR="001139FF">
        <w:t>п</w:t>
      </w:r>
      <w:r w:rsidRPr="0071514B">
        <w:t xml:space="preserve">еревыполнение </w:t>
      </w:r>
      <w:r w:rsidR="001139FF">
        <w:t xml:space="preserve">сложилось из-за поступлений </w:t>
      </w:r>
      <w:r w:rsidR="001139FF">
        <w:lastRenderedPageBreak/>
        <w:t xml:space="preserve">10.12.2015 в доход областного бюджета субвенции на осуществление полномочий по составлению списков кандидатов в присяжные заседатели </w:t>
      </w:r>
      <w:r w:rsidR="001139FF" w:rsidRPr="00081929">
        <w:t>федеральных судов общей юрисдикции в РФ</w:t>
      </w:r>
      <w:r w:rsidR="001139FF" w:rsidRPr="001139FF">
        <w:t xml:space="preserve"> </w:t>
      </w:r>
      <w:r w:rsidR="001139FF">
        <w:t>в сумме 348,9 тыс. руб., плановые назначения по которой отсутствовали.</w:t>
      </w:r>
    </w:p>
    <w:bookmarkEnd w:id="0"/>
    <w:p w:rsidR="00C94BA1" w:rsidRPr="00193104" w:rsidRDefault="00C94BA1" w:rsidP="00193104">
      <w:pPr>
        <w:pStyle w:val="1"/>
        <w:spacing w:before="0" w:after="0"/>
        <w:ind w:firstLine="720"/>
        <w:rPr>
          <w:rFonts w:ascii="Times New Roman" w:hAnsi="Times New Roman"/>
          <w:i/>
          <w:color w:val="auto"/>
          <w:sz w:val="24"/>
          <w:szCs w:val="24"/>
        </w:rPr>
      </w:pPr>
      <w:r w:rsidRPr="00193104">
        <w:rPr>
          <w:rFonts w:ascii="Times New Roman" w:hAnsi="Times New Roman"/>
          <w:i/>
          <w:color w:val="auto"/>
          <w:sz w:val="24"/>
          <w:szCs w:val="24"/>
        </w:rPr>
        <w:t>Исполнение расходов</w:t>
      </w:r>
    </w:p>
    <w:p w:rsidR="00C94BA1" w:rsidRPr="007B2224" w:rsidRDefault="00C94BA1" w:rsidP="00C94BA1">
      <w:pPr>
        <w:ind w:firstLine="709"/>
        <w:jc w:val="both"/>
      </w:pPr>
      <w:r w:rsidRPr="007B2224">
        <w:t xml:space="preserve">Анализ исполнения бюджетных назначений </w:t>
      </w:r>
      <w:r>
        <w:t>Комитета</w:t>
      </w:r>
      <w:r w:rsidRPr="007B2224">
        <w:t xml:space="preserve"> представлен в таблице.</w:t>
      </w:r>
    </w:p>
    <w:p w:rsidR="00C94BA1" w:rsidRDefault="00C94BA1" w:rsidP="00C94BA1">
      <w:pPr>
        <w:tabs>
          <w:tab w:val="left" w:pos="0"/>
        </w:tabs>
        <w:ind w:right="-82"/>
        <w:jc w:val="right"/>
        <w:rPr>
          <w:i/>
          <w:sz w:val="20"/>
          <w:szCs w:val="20"/>
        </w:rPr>
      </w:pPr>
      <w:r w:rsidRPr="008A568F">
        <w:t xml:space="preserve"> </w:t>
      </w:r>
      <w:r w:rsidRPr="008A568F">
        <w:rPr>
          <w:i/>
          <w:sz w:val="20"/>
          <w:szCs w:val="20"/>
        </w:rPr>
        <w:t>тыс. руб.</w:t>
      </w:r>
    </w:p>
    <w:tbl>
      <w:tblPr>
        <w:tblW w:w="9889" w:type="dxa"/>
        <w:tblLayout w:type="fixed"/>
        <w:tblLook w:val="04A0"/>
      </w:tblPr>
      <w:tblGrid>
        <w:gridCol w:w="4219"/>
        <w:gridCol w:w="958"/>
        <w:gridCol w:w="1134"/>
        <w:gridCol w:w="885"/>
        <w:gridCol w:w="992"/>
        <w:gridCol w:w="851"/>
        <w:gridCol w:w="850"/>
      </w:tblGrid>
      <w:tr w:rsidR="00950DB2" w:rsidRPr="007B2224" w:rsidTr="00AB0537">
        <w:trPr>
          <w:trHeight w:val="405"/>
          <w:tblHeader/>
        </w:trPr>
        <w:tc>
          <w:tcPr>
            <w:tcW w:w="42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7B2224" w:rsidRDefault="00950DB2" w:rsidP="000C3E09">
            <w:pPr>
              <w:jc w:val="center"/>
              <w:rPr>
                <w:color w:val="000000"/>
                <w:sz w:val="18"/>
                <w:szCs w:val="16"/>
              </w:rPr>
            </w:pPr>
            <w:r w:rsidRPr="007B2224">
              <w:rPr>
                <w:color w:val="000000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7B2224" w:rsidRDefault="00950DB2" w:rsidP="000C3E09">
            <w:pPr>
              <w:jc w:val="center"/>
              <w:rPr>
                <w:sz w:val="18"/>
                <w:szCs w:val="16"/>
              </w:rPr>
            </w:pPr>
            <w:r w:rsidRPr="007B2224">
              <w:rPr>
                <w:sz w:val="18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DB2" w:rsidRPr="007B2224" w:rsidRDefault="00950DB2" w:rsidP="00AB053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Утверждено назначений</w:t>
            </w:r>
          </w:p>
        </w:tc>
        <w:tc>
          <w:tcPr>
            <w:tcW w:w="8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7B2224" w:rsidRDefault="00950DB2" w:rsidP="000C3E09">
            <w:pPr>
              <w:jc w:val="center"/>
              <w:rPr>
                <w:sz w:val="18"/>
                <w:szCs w:val="16"/>
              </w:rPr>
            </w:pPr>
            <w:r w:rsidRPr="007B2224">
              <w:rPr>
                <w:sz w:val="18"/>
                <w:szCs w:val="16"/>
              </w:rPr>
              <w:t>Бюдж</w:t>
            </w:r>
            <w:r>
              <w:rPr>
                <w:sz w:val="18"/>
                <w:szCs w:val="16"/>
              </w:rPr>
              <w:t>.</w:t>
            </w:r>
            <w:r w:rsidRPr="007B2224">
              <w:rPr>
                <w:sz w:val="18"/>
                <w:szCs w:val="16"/>
              </w:rPr>
              <w:t xml:space="preserve"> роспись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7B2224" w:rsidRDefault="00950DB2" w:rsidP="000C3E09">
            <w:pPr>
              <w:jc w:val="center"/>
              <w:rPr>
                <w:sz w:val="18"/>
                <w:szCs w:val="16"/>
              </w:rPr>
            </w:pPr>
            <w:r w:rsidRPr="007B2224">
              <w:rPr>
                <w:sz w:val="18"/>
                <w:szCs w:val="16"/>
              </w:rPr>
              <w:t>Исполн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7B2224" w:rsidRDefault="00950DB2" w:rsidP="000C3E09">
            <w:pPr>
              <w:jc w:val="center"/>
              <w:rPr>
                <w:sz w:val="18"/>
                <w:szCs w:val="16"/>
              </w:rPr>
            </w:pPr>
            <w:r w:rsidRPr="007B2224">
              <w:rPr>
                <w:sz w:val="18"/>
                <w:szCs w:val="16"/>
              </w:rPr>
              <w:t>К бюджетной росписи</w:t>
            </w:r>
          </w:p>
        </w:tc>
      </w:tr>
      <w:tr w:rsidR="00950DB2" w:rsidRPr="007B2224" w:rsidTr="00CA6FAD">
        <w:trPr>
          <w:trHeight w:val="209"/>
          <w:tblHeader/>
        </w:trPr>
        <w:tc>
          <w:tcPr>
            <w:tcW w:w="421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DB2" w:rsidRPr="007B2224" w:rsidRDefault="00950DB2" w:rsidP="000C3E09">
            <w:pPr>
              <w:rPr>
                <w:color w:val="000000"/>
                <w:sz w:val="18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DB2" w:rsidRPr="007B2224" w:rsidRDefault="00950DB2" w:rsidP="000C3E09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0DB2" w:rsidRPr="007B2224" w:rsidRDefault="00950DB2" w:rsidP="000C3E09">
            <w:pPr>
              <w:rPr>
                <w:sz w:val="18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DB2" w:rsidRPr="007B2224" w:rsidRDefault="00950DB2" w:rsidP="000C3E09">
            <w:pPr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DB2" w:rsidRPr="007B2224" w:rsidRDefault="00950DB2" w:rsidP="000C3E09">
            <w:pPr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7B2224" w:rsidRDefault="00950DB2" w:rsidP="000C3E09">
            <w:pPr>
              <w:jc w:val="center"/>
              <w:rPr>
                <w:sz w:val="18"/>
                <w:szCs w:val="16"/>
              </w:rPr>
            </w:pPr>
            <w:r w:rsidRPr="007B2224">
              <w:rPr>
                <w:sz w:val="18"/>
                <w:szCs w:val="16"/>
              </w:rPr>
              <w:t>Отклон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50DB2" w:rsidRPr="007B2224" w:rsidRDefault="00950DB2" w:rsidP="000C3E09">
            <w:pPr>
              <w:jc w:val="center"/>
              <w:rPr>
                <w:sz w:val="18"/>
                <w:szCs w:val="16"/>
              </w:rPr>
            </w:pPr>
            <w:r w:rsidRPr="007B2224">
              <w:rPr>
                <w:sz w:val="18"/>
                <w:szCs w:val="16"/>
              </w:rPr>
              <w:t>% исполн</w:t>
            </w:r>
            <w:r>
              <w:rPr>
                <w:sz w:val="18"/>
                <w:szCs w:val="16"/>
              </w:rPr>
              <w:t>.</w:t>
            </w:r>
          </w:p>
        </w:tc>
      </w:tr>
      <w:tr w:rsidR="00950DB2" w:rsidRPr="00560EAA" w:rsidTr="00256B1D">
        <w:trPr>
          <w:trHeight w:val="40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Pr="00560EAA" w:rsidRDefault="00950DB2" w:rsidP="000C3E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0EAA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560EAA" w:rsidRDefault="00950DB2" w:rsidP="000C3E09">
            <w:pPr>
              <w:rPr>
                <w:b/>
                <w:bCs/>
                <w:sz w:val="16"/>
                <w:szCs w:val="16"/>
              </w:rPr>
            </w:pPr>
            <w:r w:rsidRPr="00560EA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B2" w:rsidRDefault="00950DB2" w:rsidP="00256B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</w:t>
            </w:r>
            <w:r w:rsidR="00256B1D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633,9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366 469,4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353 104,6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13 364,8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96,4</w:t>
            </w:r>
          </w:p>
        </w:tc>
      </w:tr>
      <w:tr w:rsidR="00950DB2" w:rsidRPr="00560EAA" w:rsidTr="00256B1D">
        <w:trPr>
          <w:trHeight w:val="60"/>
        </w:trPr>
        <w:tc>
          <w:tcPr>
            <w:tcW w:w="4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Pr="00560EAA" w:rsidRDefault="00950DB2" w:rsidP="000C3E0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502B79">
              <w:rPr>
                <w:b/>
                <w:bCs/>
                <w:color w:val="000000"/>
                <w:sz w:val="16"/>
                <w:szCs w:val="16"/>
              </w:rPr>
              <w:t>удебная система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560EAA" w:rsidRDefault="00950DB2" w:rsidP="000C3E09">
            <w:pPr>
              <w:rPr>
                <w:b/>
                <w:bCs/>
                <w:sz w:val="16"/>
                <w:szCs w:val="16"/>
              </w:rPr>
            </w:pPr>
            <w:r w:rsidRPr="00560EAA">
              <w:rPr>
                <w:b/>
                <w:bCs/>
                <w:sz w:val="16"/>
                <w:szCs w:val="16"/>
              </w:rPr>
              <w:t xml:space="preserve">01 </w:t>
            </w: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B2" w:rsidRPr="00502B79" w:rsidRDefault="00950DB2" w:rsidP="00256B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</w:t>
            </w:r>
            <w:r w:rsidR="00256B1D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478,2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 w:rsidRPr="00502B79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48 913,4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335 998,7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12 914,7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96,3</w:t>
            </w:r>
          </w:p>
        </w:tc>
      </w:tr>
      <w:tr w:rsidR="00950DB2" w:rsidRPr="00560EAA" w:rsidTr="00256B1D">
        <w:trPr>
          <w:trHeight w:val="189"/>
        </w:trPr>
        <w:tc>
          <w:tcPr>
            <w:tcW w:w="4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Pr="00560EAA" w:rsidRDefault="00950DB2" w:rsidP="000C3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7B4DF9">
              <w:rPr>
                <w:color w:val="000000"/>
                <w:sz w:val="16"/>
                <w:szCs w:val="16"/>
              </w:rPr>
              <w:t>беспечение деятел</w:t>
            </w:r>
            <w:r>
              <w:rPr>
                <w:color w:val="000000"/>
                <w:sz w:val="16"/>
                <w:szCs w:val="16"/>
              </w:rPr>
              <w:t>ьности государственных органов В</w:t>
            </w:r>
            <w:r w:rsidRPr="007B4DF9">
              <w:rPr>
                <w:color w:val="000000"/>
                <w:sz w:val="16"/>
                <w:szCs w:val="16"/>
              </w:rPr>
              <w:t>олг</w:t>
            </w:r>
            <w:r>
              <w:rPr>
                <w:color w:val="000000"/>
                <w:sz w:val="16"/>
                <w:szCs w:val="16"/>
              </w:rPr>
              <w:t xml:space="preserve">.  </w:t>
            </w:r>
            <w:r w:rsidRPr="007B4DF9">
              <w:rPr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560EAA" w:rsidRDefault="00950DB2" w:rsidP="000C3E09">
            <w:pPr>
              <w:rPr>
                <w:sz w:val="16"/>
                <w:szCs w:val="16"/>
              </w:rPr>
            </w:pPr>
            <w:r w:rsidRPr="007B4DF9">
              <w:rPr>
                <w:sz w:val="16"/>
                <w:szCs w:val="16"/>
              </w:rPr>
              <w:t>9000001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B2" w:rsidRPr="001D7742" w:rsidRDefault="00950DB2" w:rsidP="00256B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  <w:r w:rsidR="00256B1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816,1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1D7742" w:rsidRDefault="00950DB2" w:rsidP="000C3E09">
            <w:pPr>
              <w:jc w:val="right"/>
              <w:rPr>
                <w:sz w:val="16"/>
                <w:szCs w:val="16"/>
              </w:rPr>
            </w:pPr>
            <w:r w:rsidRPr="001D774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47 271,3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 w:rsidRPr="007B4DF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34 358,9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12 912,4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96,3</w:t>
            </w:r>
          </w:p>
        </w:tc>
      </w:tr>
      <w:tr w:rsidR="00950DB2" w:rsidRPr="00560EAA" w:rsidTr="00256B1D">
        <w:trPr>
          <w:trHeight w:val="82"/>
        </w:trPr>
        <w:tc>
          <w:tcPr>
            <w:tcW w:w="4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Pr="00560EAA" w:rsidRDefault="00950DB2" w:rsidP="000C3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D429AB">
              <w:rPr>
                <w:color w:val="000000"/>
                <w:sz w:val="16"/>
                <w:szCs w:val="16"/>
              </w:rPr>
              <w:t>асходы на повышение квалификации мировых судей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560EAA" w:rsidRDefault="00950DB2" w:rsidP="000C3E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9902007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B2" w:rsidRDefault="006630B0" w:rsidP="00256B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50DB2" w:rsidRPr="00560EAA" w:rsidTr="00256B1D">
        <w:trPr>
          <w:trHeight w:val="123"/>
        </w:trPr>
        <w:tc>
          <w:tcPr>
            <w:tcW w:w="4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Pr="00560EAA" w:rsidRDefault="00950DB2" w:rsidP="000C3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06128A">
              <w:rPr>
                <w:color w:val="000000"/>
                <w:sz w:val="16"/>
                <w:szCs w:val="16"/>
              </w:rPr>
              <w:t>плата налогов и сборов органами государственной власти и казенными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560EAA" w:rsidRDefault="00950DB2" w:rsidP="000C3E09">
            <w:pPr>
              <w:rPr>
                <w:sz w:val="16"/>
                <w:szCs w:val="16"/>
              </w:rPr>
            </w:pPr>
            <w:r w:rsidRPr="0006128A">
              <w:rPr>
                <w:sz w:val="16"/>
                <w:szCs w:val="16"/>
              </w:rPr>
              <w:t>9908014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B2" w:rsidRDefault="006630B0" w:rsidP="00256B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1D7742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950DB2" w:rsidRPr="00560EAA" w:rsidTr="00256B1D">
        <w:trPr>
          <w:trHeight w:val="183"/>
        </w:trPr>
        <w:tc>
          <w:tcPr>
            <w:tcW w:w="4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Pr="00560EAA" w:rsidRDefault="00950DB2" w:rsidP="000C3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6E0C78">
              <w:rPr>
                <w:color w:val="000000"/>
                <w:sz w:val="16"/>
                <w:szCs w:val="16"/>
              </w:rPr>
              <w:t>сполнение судебных актов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560EAA" w:rsidRDefault="00950DB2" w:rsidP="000C3E09">
            <w:pPr>
              <w:rPr>
                <w:sz w:val="16"/>
                <w:szCs w:val="16"/>
              </w:rPr>
            </w:pPr>
            <w:r w:rsidRPr="0006128A">
              <w:rPr>
                <w:sz w:val="16"/>
                <w:szCs w:val="16"/>
              </w:rPr>
              <w:t>9908087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B2" w:rsidRDefault="006630B0" w:rsidP="00256B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1D7742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50DB2" w:rsidRPr="00560EAA" w:rsidTr="00256B1D">
        <w:trPr>
          <w:trHeight w:val="115"/>
        </w:trPr>
        <w:tc>
          <w:tcPr>
            <w:tcW w:w="4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Pr="0006128A" w:rsidRDefault="00950DB2" w:rsidP="000C3E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128A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560EAA" w:rsidRDefault="00950DB2" w:rsidP="000C3E09">
            <w:pPr>
              <w:rPr>
                <w:b/>
                <w:bCs/>
                <w:sz w:val="16"/>
                <w:szCs w:val="16"/>
              </w:rPr>
            </w:pPr>
            <w:r w:rsidRPr="00560EAA">
              <w:rPr>
                <w:b/>
                <w:bCs/>
                <w:sz w:val="16"/>
                <w:szCs w:val="16"/>
              </w:rPr>
              <w:t xml:space="preserve">01 </w:t>
            </w: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B2" w:rsidRDefault="00256B1D" w:rsidP="00256B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17 291,7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1D7742" w:rsidRDefault="00950DB2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16 492,2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797646" w:rsidRDefault="00950DB2" w:rsidP="000C3E09">
            <w:pPr>
              <w:jc w:val="right"/>
              <w:rPr>
                <w:b/>
                <w:sz w:val="16"/>
                <w:szCs w:val="16"/>
              </w:rPr>
            </w:pPr>
            <w:r w:rsidRPr="0079764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39</w:t>
            </w:r>
            <w:r w:rsidRPr="00797646">
              <w:rPr>
                <w:b/>
                <w:sz w:val="16"/>
                <w:szCs w:val="16"/>
              </w:rPr>
              <w:t>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797646" w:rsidRDefault="00950DB2" w:rsidP="000C3E09">
            <w:pPr>
              <w:jc w:val="right"/>
              <w:rPr>
                <w:b/>
                <w:sz w:val="16"/>
                <w:szCs w:val="16"/>
              </w:rPr>
            </w:pPr>
            <w:r w:rsidRPr="00797646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950DB2" w:rsidRPr="00560EAA" w:rsidTr="00256B1D">
        <w:trPr>
          <w:trHeight w:val="175"/>
        </w:trPr>
        <w:tc>
          <w:tcPr>
            <w:tcW w:w="4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Pr="00560EAA" w:rsidRDefault="00950DB2" w:rsidP="000C3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1C0E3A">
              <w:rPr>
                <w:color w:val="000000"/>
                <w:sz w:val="16"/>
                <w:szCs w:val="16"/>
              </w:rPr>
              <w:t>асходы на обеспечение деятельности (оказание услуг)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560EAA" w:rsidRDefault="00256B1D" w:rsidP="000C3E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950DB2" w:rsidRPr="001C0E3A">
              <w:rPr>
                <w:sz w:val="16"/>
                <w:szCs w:val="16"/>
              </w:rPr>
              <w:t>00059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B2" w:rsidRPr="001C0E3A" w:rsidRDefault="00256B1D" w:rsidP="00256B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17 291,7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 w:rsidRPr="001C0E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6 925,1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97,4</w:t>
            </w:r>
          </w:p>
        </w:tc>
      </w:tr>
      <w:tr w:rsidR="00950DB2" w:rsidRPr="00560EAA" w:rsidTr="00256B1D">
        <w:trPr>
          <w:trHeight w:val="236"/>
        </w:trPr>
        <w:tc>
          <w:tcPr>
            <w:tcW w:w="4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B2" w:rsidRPr="00560EAA" w:rsidRDefault="00950DB2" w:rsidP="000C3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1C0E3A">
              <w:rPr>
                <w:color w:val="000000"/>
                <w:sz w:val="16"/>
                <w:szCs w:val="16"/>
              </w:rPr>
              <w:t>плата налогов и сборов органами государственной власти и казенными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560EAA" w:rsidRDefault="00256B1D" w:rsidP="000C3E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950DB2" w:rsidRPr="001C0E3A">
              <w:rPr>
                <w:sz w:val="16"/>
                <w:szCs w:val="16"/>
              </w:rPr>
              <w:t>08014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B2" w:rsidRDefault="006630B0" w:rsidP="00256B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50DB2" w:rsidRPr="00560EAA" w:rsidRDefault="00950DB2" w:rsidP="000C3E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F261C" w:rsidRPr="006630B0" w:rsidTr="00256B1D">
        <w:trPr>
          <w:trHeight w:val="236"/>
        </w:trPr>
        <w:tc>
          <w:tcPr>
            <w:tcW w:w="4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1C" w:rsidRPr="00933E28" w:rsidRDefault="009F261C" w:rsidP="00CA6FAD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</w:t>
            </w:r>
            <w:r w:rsidRPr="00933E28">
              <w:rPr>
                <w:b/>
                <w:color w:val="000000"/>
                <w:sz w:val="16"/>
                <w:szCs w:val="16"/>
              </w:rPr>
              <w:t>рофессиональная подготовка, переподготовка и повышение квалификации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1C" w:rsidRPr="006630B0" w:rsidRDefault="009F261C" w:rsidP="000C3E09">
            <w:pPr>
              <w:rPr>
                <w:b/>
                <w:sz w:val="16"/>
                <w:szCs w:val="16"/>
              </w:rPr>
            </w:pPr>
            <w:r w:rsidRPr="006630B0">
              <w:rPr>
                <w:b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C" w:rsidRPr="006630B0" w:rsidRDefault="009F261C" w:rsidP="00256B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630B0">
              <w:rPr>
                <w:b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1C" w:rsidRPr="006630B0" w:rsidRDefault="009F261C" w:rsidP="000C3E0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630B0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1C" w:rsidRPr="006630B0" w:rsidRDefault="009F261C" w:rsidP="000C3E09">
            <w:pPr>
              <w:jc w:val="right"/>
              <w:rPr>
                <w:b/>
                <w:sz w:val="16"/>
                <w:szCs w:val="16"/>
              </w:rPr>
            </w:pPr>
            <w:r w:rsidRPr="006630B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1C" w:rsidRPr="006630B0" w:rsidRDefault="009F261C" w:rsidP="000C3E09">
            <w:pPr>
              <w:jc w:val="right"/>
              <w:rPr>
                <w:b/>
                <w:sz w:val="16"/>
                <w:szCs w:val="16"/>
              </w:rPr>
            </w:pPr>
            <w:r w:rsidRPr="006630B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261C" w:rsidRPr="006630B0" w:rsidRDefault="009F261C" w:rsidP="000C3E09">
            <w:pPr>
              <w:jc w:val="right"/>
              <w:rPr>
                <w:b/>
                <w:sz w:val="16"/>
                <w:szCs w:val="16"/>
              </w:rPr>
            </w:pPr>
            <w:r w:rsidRPr="006630B0">
              <w:rPr>
                <w:b/>
                <w:sz w:val="16"/>
                <w:szCs w:val="16"/>
              </w:rPr>
              <w:t>-</w:t>
            </w:r>
          </w:p>
        </w:tc>
      </w:tr>
      <w:tr w:rsidR="009F261C" w:rsidRPr="006630B0" w:rsidTr="00256B1D">
        <w:trPr>
          <w:trHeight w:val="236"/>
        </w:trPr>
        <w:tc>
          <w:tcPr>
            <w:tcW w:w="4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1C" w:rsidRPr="00560EAA" w:rsidRDefault="009F261C" w:rsidP="00CA6F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933E28">
              <w:rPr>
                <w:color w:val="000000"/>
                <w:sz w:val="16"/>
                <w:szCs w:val="16"/>
              </w:rPr>
              <w:t>ереподготовка и повышение квалификации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1C" w:rsidRPr="00560EAA" w:rsidRDefault="009F261C" w:rsidP="00CA6FAD">
            <w:pPr>
              <w:rPr>
                <w:sz w:val="16"/>
                <w:szCs w:val="16"/>
              </w:rPr>
            </w:pPr>
            <w:r w:rsidRPr="00933E28">
              <w:rPr>
                <w:sz w:val="16"/>
                <w:szCs w:val="16"/>
              </w:rPr>
              <w:t>9902006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C" w:rsidRPr="009F261C" w:rsidRDefault="009F261C" w:rsidP="00256B1D">
            <w:pPr>
              <w:jc w:val="center"/>
              <w:rPr>
                <w:color w:val="000000"/>
                <w:sz w:val="16"/>
                <w:szCs w:val="16"/>
              </w:rPr>
            </w:pPr>
            <w:r w:rsidRPr="009F261C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1C" w:rsidRPr="006630B0" w:rsidRDefault="009F261C" w:rsidP="000C3E09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1C" w:rsidRPr="006630B0" w:rsidRDefault="009F261C" w:rsidP="000C3E0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1C" w:rsidRPr="006630B0" w:rsidRDefault="009F261C" w:rsidP="000C3E0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261C" w:rsidRPr="006630B0" w:rsidRDefault="009F261C" w:rsidP="000C3E0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F261C" w:rsidRPr="00560EAA" w:rsidTr="00256B1D">
        <w:trPr>
          <w:trHeight w:val="155"/>
        </w:trPr>
        <w:tc>
          <w:tcPr>
            <w:tcW w:w="4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1C" w:rsidRPr="00560EAA" w:rsidRDefault="009F261C" w:rsidP="000C3E0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933E28">
              <w:rPr>
                <w:b/>
                <w:bCs/>
                <w:color w:val="000000"/>
                <w:sz w:val="16"/>
                <w:szCs w:val="16"/>
              </w:rPr>
              <w:t>оциальное обеспечение населения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1C" w:rsidRPr="00560EAA" w:rsidRDefault="009F261C" w:rsidP="000C3E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1C" w:rsidRDefault="009F261C" w:rsidP="00256B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824,0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1C" w:rsidRPr="00560EAA" w:rsidRDefault="009F261C" w:rsidP="000C3E0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1C" w:rsidRPr="00560EAA" w:rsidRDefault="009F261C" w:rsidP="000C3E0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1C" w:rsidRPr="00560EAA" w:rsidRDefault="009F261C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261C" w:rsidRPr="00560EAA" w:rsidRDefault="009F261C" w:rsidP="000C3E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98,3</w:t>
            </w:r>
          </w:p>
        </w:tc>
      </w:tr>
      <w:tr w:rsidR="009F261C" w:rsidRPr="00560EAA" w:rsidTr="00256B1D">
        <w:trPr>
          <w:trHeight w:val="92"/>
        </w:trPr>
        <w:tc>
          <w:tcPr>
            <w:tcW w:w="421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1C" w:rsidRPr="00560EAA" w:rsidRDefault="009F261C" w:rsidP="000C3E0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</w:t>
            </w:r>
            <w:r w:rsidRPr="00933E28">
              <w:rPr>
                <w:color w:val="000000"/>
                <w:sz w:val="16"/>
                <w:szCs w:val="16"/>
              </w:rPr>
              <w:t>ридическая помощь отдельным категориям граждан</w:t>
            </w: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1C" w:rsidRPr="00560EAA" w:rsidRDefault="009F261C" w:rsidP="000C3E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9908005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261C" w:rsidRDefault="009F261C" w:rsidP="00256B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824,0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1C" w:rsidRPr="00560EAA" w:rsidRDefault="009F261C" w:rsidP="000C3E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1C" w:rsidRPr="00560EAA" w:rsidRDefault="009F261C" w:rsidP="000C3E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613,7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1C" w:rsidRPr="00797646" w:rsidRDefault="009F261C" w:rsidP="000C3E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261C" w:rsidRPr="00797646" w:rsidRDefault="009F261C" w:rsidP="000C3E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98,3</w:t>
            </w:r>
          </w:p>
        </w:tc>
      </w:tr>
    </w:tbl>
    <w:p w:rsidR="009D5041" w:rsidRDefault="00C94BA1" w:rsidP="00C94BA1">
      <w:pPr>
        <w:autoSpaceDE w:val="0"/>
        <w:autoSpaceDN w:val="0"/>
        <w:adjustRightInd w:val="0"/>
        <w:ind w:firstLine="709"/>
        <w:jc w:val="both"/>
      </w:pPr>
      <w:r w:rsidRPr="007B2224">
        <w:t xml:space="preserve">Расходы, утверждённые </w:t>
      </w:r>
      <w:r>
        <w:t>Комитету</w:t>
      </w:r>
      <w:r w:rsidRPr="007B2224">
        <w:t xml:space="preserve">, исполнены на </w:t>
      </w:r>
      <w:r>
        <w:t>96,4</w:t>
      </w:r>
      <w:r w:rsidRPr="007B2224">
        <w:t xml:space="preserve">%, объём неисполненных </w:t>
      </w:r>
      <w:r w:rsidRPr="00675E47">
        <w:t xml:space="preserve">назначений составил </w:t>
      </w:r>
      <w:r>
        <w:t>13 364,8</w:t>
      </w:r>
      <w:r w:rsidRPr="00675E47">
        <w:t xml:space="preserve"> тыс. рублей. </w:t>
      </w:r>
      <w:r w:rsidR="00271922">
        <w:t xml:space="preserve">Основная доля неисполненных расходных обязательств приходится на расходы по оплате труда. </w:t>
      </w:r>
      <w:r w:rsidR="00B83760">
        <w:t>Основной причиной неисполнения расходных обязательств является текучесть кадров</w:t>
      </w:r>
      <w:r w:rsidR="00271922">
        <w:t>ого состава</w:t>
      </w:r>
      <w:r w:rsidR="00B83760">
        <w:t>.</w:t>
      </w:r>
    </w:p>
    <w:p w:rsidR="009D5041" w:rsidRDefault="009D5041" w:rsidP="00C94BA1">
      <w:pPr>
        <w:autoSpaceDE w:val="0"/>
        <w:autoSpaceDN w:val="0"/>
        <w:adjustRightInd w:val="0"/>
        <w:ind w:firstLine="709"/>
        <w:jc w:val="both"/>
      </w:pPr>
    </w:p>
    <w:p w:rsidR="00AB0537" w:rsidRDefault="00AB0537" w:rsidP="008941D3">
      <w:pPr>
        <w:ind w:firstLine="709"/>
        <w:jc w:val="both"/>
      </w:pPr>
      <w:r w:rsidRPr="002318F8">
        <w:t xml:space="preserve">Штатное расписание на 2015 год </w:t>
      </w:r>
      <w:r>
        <w:t>Комитета</w:t>
      </w:r>
      <w:r w:rsidRPr="002318F8">
        <w:t xml:space="preserve"> утверждено постановлением Губернатора Волгоградской области от </w:t>
      </w:r>
      <w:r>
        <w:t>02</w:t>
      </w:r>
      <w:r w:rsidRPr="002318F8">
        <w:t>.0</w:t>
      </w:r>
      <w:r>
        <w:t>5</w:t>
      </w:r>
      <w:r w:rsidRPr="002318F8">
        <w:t>.201</w:t>
      </w:r>
      <w:r>
        <w:t>2 №259</w:t>
      </w:r>
      <w:r w:rsidRPr="002318F8">
        <w:t xml:space="preserve"> в количестве </w:t>
      </w:r>
      <w:r>
        <w:t>785</w:t>
      </w:r>
      <w:r w:rsidRPr="002318F8">
        <w:t xml:space="preserve"> штатных единиц. Штатная численность ГГС составляет </w:t>
      </w:r>
      <w:r>
        <w:t>522</w:t>
      </w:r>
      <w:r w:rsidRPr="002318F8">
        <w:t xml:space="preserve"> штатны</w:t>
      </w:r>
      <w:r w:rsidR="008941D3">
        <w:t>е</w:t>
      </w:r>
      <w:r w:rsidRPr="002318F8">
        <w:t xml:space="preserve"> единиц</w:t>
      </w:r>
      <w:r w:rsidR="00DC205A">
        <w:t>ы</w:t>
      </w:r>
      <w:r>
        <w:t>, что соответствует</w:t>
      </w:r>
      <w:r w:rsidRPr="002318F8">
        <w:t xml:space="preserve"> установленной Законом об областном бюджете на 2015 год предельной численности. Расчетный фонд по ГГС составил </w:t>
      </w:r>
      <w:r>
        <w:t>182 453</w:t>
      </w:r>
      <w:r w:rsidRPr="002318F8">
        <w:t xml:space="preserve"> тыс. руб., фактически произведены расходы на сумму </w:t>
      </w:r>
      <w:r>
        <w:t>148 996</w:t>
      </w:r>
      <w:r w:rsidRPr="002318F8">
        <w:t xml:space="preserve"> тыс. руб., экономия составила </w:t>
      </w:r>
      <w:r>
        <w:t>33 457</w:t>
      </w:r>
      <w:r w:rsidRPr="002318F8">
        <w:t xml:space="preserve"> тыс. руб.</w:t>
      </w:r>
      <w:r>
        <w:t>, что обусловлено значительной текучестью кадрового состава в течение года</w:t>
      </w:r>
      <w:r w:rsidR="009D5041">
        <w:t xml:space="preserve">, больничными </w:t>
      </w:r>
      <w:r w:rsidR="00271922">
        <w:t xml:space="preserve">листами </w:t>
      </w:r>
      <w:r w:rsidR="009D5041">
        <w:t>и декретными</w:t>
      </w:r>
      <w:r w:rsidR="00271922">
        <w:t xml:space="preserve"> отпусками сотрудников</w:t>
      </w:r>
      <w:r>
        <w:t>.</w:t>
      </w:r>
    </w:p>
    <w:p w:rsidR="00AB0537" w:rsidRDefault="00AB0537" w:rsidP="008941D3">
      <w:pPr>
        <w:ind w:firstLine="709"/>
        <w:jc w:val="both"/>
      </w:pPr>
      <w:r>
        <w:t xml:space="preserve">В 2015 году Комитетом в соответствии с </w:t>
      </w:r>
      <w:r w:rsidR="00DC205A">
        <w:t>п</w:t>
      </w:r>
      <w:r>
        <w:t xml:space="preserve">остановлением </w:t>
      </w:r>
      <w:r w:rsidR="00DC205A">
        <w:t>г</w:t>
      </w:r>
      <w:r>
        <w:t xml:space="preserve">лавы </w:t>
      </w:r>
      <w:r w:rsidR="00DC205A">
        <w:t>А</w:t>
      </w:r>
      <w:r>
        <w:t>дминистрации Волгоградской области от 14.12.2010 №1900 «О выплате денежных поощрений и материальной помощи государственным гражданским служащим Волгоградской области в органах исполнительной власти Волгоградской области»</w:t>
      </w:r>
      <w:r w:rsidR="009F261C">
        <w:t xml:space="preserve"> были выплачены</w:t>
      </w:r>
      <w:r>
        <w:t>:</w:t>
      </w:r>
    </w:p>
    <w:p w:rsidR="00AB0537" w:rsidRDefault="00AB0537" w:rsidP="008941D3">
      <w:pPr>
        <w:ind w:firstLine="709"/>
        <w:jc w:val="both"/>
      </w:pPr>
      <w:r>
        <w:t>-премия по итогам службы за 2014 год в сумме 6961,0 тыс. руб.;</w:t>
      </w:r>
    </w:p>
    <w:p w:rsidR="00AB0537" w:rsidRPr="00B436A0" w:rsidRDefault="00AB0537" w:rsidP="008941D3">
      <w:pPr>
        <w:ind w:firstLine="709"/>
        <w:jc w:val="both"/>
      </w:pPr>
      <w:r w:rsidRPr="00B436A0">
        <w:t>-премия за безупречную и эффективную государственную гражданскую службу Волгоградской области</w:t>
      </w:r>
      <w:r>
        <w:t xml:space="preserve"> в сумме 8041,0 тыс. рублей.</w:t>
      </w:r>
      <w:r w:rsidR="008941D3">
        <w:t xml:space="preserve"> Указанные выплаты произведены Комитетом в 2015 году из экономии фонда оплаты труда.</w:t>
      </w:r>
    </w:p>
    <w:p w:rsidR="000C3E09" w:rsidRDefault="000C3E09" w:rsidP="008941D3">
      <w:pPr>
        <w:jc w:val="both"/>
        <w:rPr>
          <w:b/>
          <w:i/>
        </w:rPr>
      </w:pPr>
    </w:p>
    <w:p w:rsidR="00C94BA1" w:rsidRPr="00C44F4A" w:rsidRDefault="00C94BA1" w:rsidP="00C94BA1">
      <w:pPr>
        <w:jc w:val="center"/>
        <w:rPr>
          <w:b/>
          <w:i/>
        </w:rPr>
      </w:pPr>
      <w:r w:rsidRPr="00C44F4A">
        <w:rPr>
          <w:b/>
          <w:i/>
        </w:rPr>
        <w:t>Сравнительный анализ показателей исполнения расходов областного бюджета</w:t>
      </w:r>
    </w:p>
    <w:p w:rsidR="00C94BA1" w:rsidRPr="00C44F4A" w:rsidRDefault="00C94BA1" w:rsidP="00C94BA1">
      <w:pPr>
        <w:jc w:val="center"/>
        <w:rPr>
          <w:b/>
          <w:i/>
        </w:rPr>
      </w:pPr>
      <w:r w:rsidRPr="00C44F4A">
        <w:rPr>
          <w:b/>
          <w:i/>
        </w:rPr>
        <w:t>за отчетный год и предыдущий год</w:t>
      </w:r>
    </w:p>
    <w:p w:rsidR="00C94BA1" w:rsidRDefault="00C94BA1" w:rsidP="00C94BA1">
      <w:pPr>
        <w:tabs>
          <w:tab w:val="left" w:pos="0"/>
        </w:tabs>
        <w:ind w:firstLine="709"/>
        <w:jc w:val="both"/>
      </w:pPr>
      <w:r w:rsidRPr="00C44F4A">
        <w:t>Анализ показателей исполнения расходов областного бюджета за 201</w:t>
      </w:r>
      <w:r>
        <w:t>5</w:t>
      </w:r>
      <w:r w:rsidRPr="00C44F4A">
        <w:t xml:space="preserve"> год в сравнении с 201</w:t>
      </w:r>
      <w:r>
        <w:t>4</w:t>
      </w:r>
      <w:r w:rsidRPr="00C44F4A">
        <w:t xml:space="preserve"> годом приведен в таблице.</w:t>
      </w:r>
    </w:p>
    <w:p w:rsidR="0027520E" w:rsidRDefault="0027520E" w:rsidP="00C94BA1">
      <w:pPr>
        <w:tabs>
          <w:tab w:val="left" w:pos="0"/>
        </w:tabs>
        <w:ind w:firstLine="709"/>
        <w:jc w:val="both"/>
      </w:pPr>
    </w:p>
    <w:p w:rsidR="0027520E" w:rsidRDefault="0027520E" w:rsidP="00C94BA1">
      <w:pPr>
        <w:tabs>
          <w:tab w:val="left" w:pos="0"/>
        </w:tabs>
        <w:ind w:firstLine="709"/>
        <w:jc w:val="both"/>
      </w:pPr>
    </w:p>
    <w:p w:rsidR="00B22A51" w:rsidRDefault="00B22A51" w:rsidP="00C94BA1">
      <w:pPr>
        <w:ind w:firstLine="708"/>
        <w:jc w:val="right"/>
        <w:rPr>
          <w:i/>
          <w:sz w:val="20"/>
          <w:szCs w:val="20"/>
        </w:rPr>
      </w:pPr>
    </w:p>
    <w:p w:rsidR="00C94BA1" w:rsidRPr="00640DFD" w:rsidRDefault="00C94BA1" w:rsidP="00C94BA1">
      <w:pPr>
        <w:ind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                                                      </w:t>
      </w:r>
      <w:r w:rsidRPr="00640DFD">
        <w:rPr>
          <w:i/>
          <w:sz w:val="20"/>
          <w:szCs w:val="20"/>
        </w:rPr>
        <w:t>тыс. руб.</w:t>
      </w:r>
    </w:p>
    <w:tbl>
      <w:tblPr>
        <w:tblW w:w="9513" w:type="dxa"/>
        <w:tblInd w:w="93" w:type="dxa"/>
        <w:tblLook w:val="04A0"/>
      </w:tblPr>
      <w:tblGrid>
        <w:gridCol w:w="4977"/>
        <w:gridCol w:w="846"/>
        <w:gridCol w:w="992"/>
        <w:gridCol w:w="993"/>
        <w:gridCol w:w="991"/>
        <w:gridCol w:w="714"/>
      </w:tblGrid>
      <w:tr w:rsidR="00C94BA1" w:rsidRPr="001B1643" w:rsidTr="00271922">
        <w:trPr>
          <w:trHeight w:val="180"/>
          <w:tblHeader/>
        </w:trPr>
        <w:tc>
          <w:tcPr>
            <w:tcW w:w="49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1B1643" w:rsidRDefault="00C94BA1" w:rsidP="000C3E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B1643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C94BA1" w:rsidRPr="00CF4E5E" w:rsidRDefault="00C94BA1" w:rsidP="000C3E09">
            <w:pPr>
              <w:jc w:val="center"/>
              <w:rPr>
                <w:b/>
                <w:sz w:val="18"/>
                <w:szCs w:val="16"/>
              </w:rPr>
            </w:pPr>
            <w:r w:rsidRPr="00CF4E5E">
              <w:rPr>
                <w:b/>
                <w:sz w:val="18"/>
                <w:szCs w:val="16"/>
              </w:rPr>
              <w:t>КБК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1B1643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 w:rsidRPr="001B1643">
              <w:rPr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1B1643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 w:rsidRPr="001B1643">
              <w:rPr>
                <w:b/>
                <w:bCs/>
                <w:sz w:val="18"/>
                <w:szCs w:val="18"/>
              </w:rPr>
              <w:t>Изменение</w:t>
            </w:r>
          </w:p>
        </w:tc>
      </w:tr>
      <w:tr w:rsidR="00C94BA1" w:rsidRPr="001B1643" w:rsidTr="00271922">
        <w:trPr>
          <w:trHeight w:val="60"/>
          <w:tblHeader/>
        </w:trPr>
        <w:tc>
          <w:tcPr>
            <w:tcW w:w="497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4BA1" w:rsidRPr="001B1643" w:rsidRDefault="00C94BA1" w:rsidP="000C3E0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94BA1" w:rsidRPr="007B2224" w:rsidRDefault="00C94BA1" w:rsidP="000C3E09">
            <w:pPr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1B1643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 w:rsidRPr="001B1643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1B1643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1B1643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 w:rsidRPr="001B1643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7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94BA1" w:rsidRPr="001B1643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 w:rsidRPr="001B1643">
              <w:rPr>
                <w:b/>
                <w:bCs/>
                <w:sz w:val="18"/>
                <w:szCs w:val="18"/>
              </w:rPr>
              <w:t>в %</w:t>
            </w:r>
          </w:p>
        </w:tc>
      </w:tr>
      <w:tr w:rsidR="00C94BA1" w:rsidRPr="001B1643" w:rsidTr="00271922">
        <w:trPr>
          <w:trHeight w:val="40"/>
        </w:trPr>
        <w:tc>
          <w:tcPr>
            <w:tcW w:w="4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CF4E5E" w:rsidRDefault="00C94BA1" w:rsidP="000C3E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4E5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A1" w:rsidRPr="00D15D16" w:rsidRDefault="00C94BA1" w:rsidP="000C3E09">
            <w:pPr>
              <w:rPr>
                <w:b/>
                <w:bCs/>
                <w:sz w:val="18"/>
                <w:szCs w:val="18"/>
              </w:rPr>
            </w:pPr>
            <w:r w:rsidRPr="00D15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D15D16" w:rsidRDefault="00C94BA1" w:rsidP="000C3E09">
            <w:pPr>
              <w:jc w:val="right"/>
              <w:rPr>
                <w:b/>
                <w:bCs/>
                <w:sz w:val="18"/>
                <w:szCs w:val="18"/>
              </w:rPr>
            </w:pPr>
            <w:r w:rsidRPr="00D15D16">
              <w:rPr>
                <w:b/>
                <w:bCs/>
                <w:sz w:val="18"/>
                <w:szCs w:val="18"/>
              </w:rPr>
              <w:t>328 170,9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D15D16" w:rsidRDefault="00C94BA1" w:rsidP="000C3E09">
            <w:pPr>
              <w:jc w:val="right"/>
              <w:rPr>
                <w:b/>
                <w:bCs/>
                <w:sz w:val="18"/>
                <w:szCs w:val="18"/>
              </w:rPr>
            </w:pPr>
            <w:r w:rsidRPr="00D15D16">
              <w:rPr>
                <w:b/>
                <w:bCs/>
                <w:sz w:val="18"/>
                <w:szCs w:val="18"/>
              </w:rPr>
              <w:t>353 104,6</w:t>
            </w:r>
          </w:p>
        </w:tc>
        <w:tc>
          <w:tcPr>
            <w:tcW w:w="9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D15D16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 w:rsidRPr="00D15D16">
              <w:rPr>
                <w:b/>
                <w:bCs/>
                <w:sz w:val="18"/>
                <w:szCs w:val="18"/>
              </w:rPr>
              <w:t>24 933,7</w:t>
            </w:r>
          </w:p>
        </w:tc>
        <w:tc>
          <w:tcPr>
            <w:tcW w:w="71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D15D16" w:rsidRDefault="00C94BA1" w:rsidP="000C3E09">
            <w:pPr>
              <w:jc w:val="right"/>
              <w:rPr>
                <w:b/>
                <w:bCs/>
                <w:sz w:val="18"/>
                <w:szCs w:val="18"/>
              </w:rPr>
            </w:pPr>
            <w:r w:rsidRPr="00D15D16">
              <w:rPr>
                <w:b/>
                <w:bCs/>
                <w:sz w:val="18"/>
                <w:szCs w:val="18"/>
              </w:rPr>
              <w:t>7,6</w:t>
            </w:r>
          </w:p>
        </w:tc>
      </w:tr>
      <w:tr w:rsidR="00C94BA1" w:rsidRPr="001B1643" w:rsidTr="00271922">
        <w:trPr>
          <w:trHeight w:val="60"/>
        </w:trPr>
        <w:tc>
          <w:tcPr>
            <w:tcW w:w="4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CF4E5E" w:rsidRDefault="00C94BA1" w:rsidP="000C3E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F4E5E">
              <w:rPr>
                <w:b/>
                <w:b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A1" w:rsidRPr="00D15D16" w:rsidRDefault="00C94BA1" w:rsidP="000C3E09">
            <w:pPr>
              <w:rPr>
                <w:b/>
                <w:bCs/>
                <w:sz w:val="18"/>
                <w:szCs w:val="18"/>
              </w:rPr>
            </w:pPr>
            <w:r w:rsidRPr="00D15D16">
              <w:rPr>
                <w:b/>
                <w:bCs/>
                <w:sz w:val="18"/>
                <w:szCs w:val="18"/>
              </w:rPr>
              <w:t>01 05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D15D16" w:rsidRDefault="00C94BA1" w:rsidP="000C3E09">
            <w:pPr>
              <w:jc w:val="right"/>
              <w:rPr>
                <w:b/>
                <w:bCs/>
                <w:sz w:val="18"/>
                <w:szCs w:val="18"/>
              </w:rPr>
            </w:pPr>
            <w:r w:rsidRPr="00D15D16">
              <w:rPr>
                <w:b/>
                <w:bCs/>
                <w:sz w:val="18"/>
                <w:szCs w:val="18"/>
              </w:rPr>
              <w:t>310 400,7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D15D16" w:rsidRDefault="00C94BA1" w:rsidP="000C3E09">
            <w:pPr>
              <w:jc w:val="right"/>
              <w:rPr>
                <w:b/>
                <w:bCs/>
                <w:sz w:val="18"/>
                <w:szCs w:val="18"/>
              </w:rPr>
            </w:pPr>
            <w:r w:rsidRPr="00D15D16">
              <w:rPr>
                <w:b/>
                <w:bCs/>
                <w:sz w:val="18"/>
                <w:szCs w:val="18"/>
              </w:rPr>
              <w:t>335 998,7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D15D16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25 598,0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D15D16" w:rsidRDefault="00C94BA1" w:rsidP="000C3E0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8,2</w:t>
            </w:r>
          </w:p>
        </w:tc>
      </w:tr>
      <w:tr w:rsidR="00C94BA1" w:rsidRPr="00081929" w:rsidTr="00271922">
        <w:trPr>
          <w:trHeight w:val="60"/>
        </w:trPr>
        <w:tc>
          <w:tcPr>
            <w:tcW w:w="4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081929" w:rsidRDefault="00C94BA1" w:rsidP="000C3E09">
            <w:pPr>
              <w:rPr>
                <w:color w:val="000000"/>
                <w:sz w:val="18"/>
                <w:szCs w:val="18"/>
              </w:rPr>
            </w:pPr>
            <w:r w:rsidRPr="00081929">
              <w:rPr>
                <w:color w:val="000000"/>
                <w:sz w:val="18"/>
                <w:szCs w:val="18"/>
              </w:rPr>
              <w:t>Расходы на повышение квалификации мировых судей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A1" w:rsidRPr="00081929" w:rsidRDefault="00C94BA1" w:rsidP="000C3E09">
            <w:pPr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6802007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246,0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362,1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116,1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Cs/>
                <w:sz w:val="18"/>
                <w:szCs w:val="18"/>
              </w:rPr>
            </w:pPr>
            <w:r w:rsidRPr="00081929">
              <w:rPr>
                <w:bCs/>
                <w:sz w:val="18"/>
                <w:szCs w:val="18"/>
              </w:rPr>
              <w:t>47,2</w:t>
            </w:r>
          </w:p>
        </w:tc>
      </w:tr>
      <w:tr w:rsidR="00C94BA1" w:rsidRPr="00081929" w:rsidTr="00271922">
        <w:trPr>
          <w:trHeight w:val="131"/>
        </w:trPr>
        <w:tc>
          <w:tcPr>
            <w:tcW w:w="4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081929" w:rsidRDefault="00C94BA1" w:rsidP="000C3E09">
            <w:pPr>
              <w:rPr>
                <w:color w:val="000000"/>
                <w:sz w:val="18"/>
                <w:szCs w:val="18"/>
              </w:rPr>
            </w:pPr>
            <w:r w:rsidRPr="00081929">
              <w:rPr>
                <w:color w:val="000000"/>
                <w:sz w:val="18"/>
                <w:szCs w:val="18"/>
              </w:rPr>
              <w:t>Обеспечение деятельности государственных органов Волг. 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A1" w:rsidRPr="00081929" w:rsidRDefault="00C94BA1" w:rsidP="000C3E09">
            <w:pPr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9000001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308 156,6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334 358,9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26 202,3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Cs/>
                <w:sz w:val="18"/>
                <w:szCs w:val="18"/>
              </w:rPr>
            </w:pPr>
            <w:r w:rsidRPr="00081929">
              <w:rPr>
                <w:bCs/>
                <w:sz w:val="18"/>
                <w:szCs w:val="18"/>
              </w:rPr>
              <w:t>8,5</w:t>
            </w:r>
          </w:p>
        </w:tc>
      </w:tr>
      <w:tr w:rsidR="00C94BA1" w:rsidRPr="00081929" w:rsidTr="00271922">
        <w:trPr>
          <w:trHeight w:val="149"/>
        </w:trPr>
        <w:tc>
          <w:tcPr>
            <w:tcW w:w="4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081929" w:rsidRDefault="00C94BA1" w:rsidP="000C3E09">
            <w:pPr>
              <w:rPr>
                <w:color w:val="000000"/>
                <w:sz w:val="18"/>
                <w:szCs w:val="18"/>
              </w:rPr>
            </w:pPr>
            <w:r w:rsidRPr="00081929">
              <w:rPr>
                <w:color w:val="000000"/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A1" w:rsidRPr="00081929" w:rsidRDefault="00C94BA1" w:rsidP="000C3E09">
            <w:pPr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9908014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1 305,2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1 197,2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Cs/>
                <w:sz w:val="18"/>
                <w:szCs w:val="18"/>
              </w:rPr>
            </w:pPr>
            <w:r w:rsidRPr="00081929">
              <w:rPr>
                <w:bCs/>
                <w:sz w:val="18"/>
                <w:szCs w:val="18"/>
              </w:rPr>
              <w:t>-108,0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Cs/>
                <w:sz w:val="18"/>
                <w:szCs w:val="18"/>
              </w:rPr>
            </w:pPr>
            <w:r w:rsidRPr="00081929">
              <w:rPr>
                <w:bCs/>
                <w:sz w:val="18"/>
                <w:szCs w:val="18"/>
              </w:rPr>
              <w:t>-8,3</w:t>
            </w:r>
          </w:p>
        </w:tc>
      </w:tr>
      <w:tr w:rsidR="00C94BA1" w:rsidRPr="00081929" w:rsidTr="00271922">
        <w:trPr>
          <w:trHeight w:val="123"/>
        </w:trPr>
        <w:tc>
          <w:tcPr>
            <w:tcW w:w="4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081929" w:rsidRDefault="00C94BA1" w:rsidP="000C3E09">
            <w:pPr>
              <w:rPr>
                <w:color w:val="000000"/>
                <w:sz w:val="18"/>
                <w:szCs w:val="18"/>
              </w:rPr>
            </w:pPr>
            <w:r w:rsidRPr="00081929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A1" w:rsidRPr="00081929" w:rsidRDefault="00C94BA1" w:rsidP="000C3E09">
            <w:pPr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9908087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692,9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80,5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-612,4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Cs/>
                <w:sz w:val="18"/>
                <w:szCs w:val="18"/>
              </w:rPr>
            </w:pPr>
            <w:r w:rsidRPr="00081929">
              <w:rPr>
                <w:bCs/>
                <w:sz w:val="18"/>
                <w:szCs w:val="18"/>
              </w:rPr>
              <w:t>-88,4</w:t>
            </w:r>
          </w:p>
        </w:tc>
      </w:tr>
      <w:tr w:rsidR="00C94BA1" w:rsidRPr="00081929" w:rsidTr="00271922">
        <w:trPr>
          <w:trHeight w:val="183"/>
        </w:trPr>
        <w:tc>
          <w:tcPr>
            <w:tcW w:w="4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081929" w:rsidRDefault="00C94BA1" w:rsidP="000C3E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1929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A1" w:rsidRPr="00081929" w:rsidRDefault="00C94BA1" w:rsidP="000C3E09">
            <w:pPr>
              <w:rPr>
                <w:b/>
                <w:bCs/>
                <w:sz w:val="18"/>
                <w:szCs w:val="18"/>
              </w:rPr>
            </w:pPr>
            <w:r w:rsidRPr="00081929">
              <w:rPr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/>
                <w:bCs/>
                <w:sz w:val="18"/>
                <w:szCs w:val="18"/>
              </w:rPr>
            </w:pPr>
            <w:r w:rsidRPr="00081929">
              <w:rPr>
                <w:b/>
                <w:bCs/>
                <w:sz w:val="18"/>
                <w:szCs w:val="18"/>
              </w:rPr>
              <w:t>17 345,2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/>
                <w:bCs/>
                <w:sz w:val="18"/>
                <w:szCs w:val="18"/>
              </w:rPr>
            </w:pPr>
            <w:r w:rsidRPr="00081929">
              <w:rPr>
                <w:b/>
                <w:bCs/>
                <w:sz w:val="18"/>
                <w:szCs w:val="18"/>
              </w:rPr>
              <w:t>16 492,2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/>
                <w:sz w:val="18"/>
                <w:szCs w:val="18"/>
              </w:rPr>
            </w:pPr>
            <w:r w:rsidRPr="00081929">
              <w:rPr>
                <w:b/>
                <w:sz w:val="18"/>
                <w:szCs w:val="18"/>
              </w:rPr>
              <w:t>-853,0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/>
                <w:bCs/>
                <w:sz w:val="18"/>
                <w:szCs w:val="18"/>
              </w:rPr>
            </w:pPr>
            <w:r w:rsidRPr="00081929">
              <w:rPr>
                <w:b/>
                <w:bCs/>
                <w:sz w:val="18"/>
                <w:szCs w:val="18"/>
              </w:rPr>
              <w:t>-4,9</w:t>
            </w:r>
          </w:p>
        </w:tc>
      </w:tr>
      <w:tr w:rsidR="00C94BA1" w:rsidRPr="00081929" w:rsidTr="00271922">
        <w:trPr>
          <w:trHeight w:val="116"/>
        </w:trPr>
        <w:tc>
          <w:tcPr>
            <w:tcW w:w="4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081929" w:rsidRDefault="00C94BA1" w:rsidP="000C3E09">
            <w:pPr>
              <w:rPr>
                <w:color w:val="000000"/>
                <w:sz w:val="18"/>
                <w:szCs w:val="18"/>
              </w:rPr>
            </w:pPr>
            <w:r w:rsidRPr="00081929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A1" w:rsidRPr="00081929" w:rsidRDefault="00C94BA1" w:rsidP="000C3E09">
            <w:pPr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6800059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17 327,5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16 485,3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-842,2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Cs/>
                <w:sz w:val="18"/>
                <w:szCs w:val="18"/>
              </w:rPr>
            </w:pPr>
            <w:r w:rsidRPr="00081929">
              <w:rPr>
                <w:bCs/>
                <w:sz w:val="18"/>
                <w:szCs w:val="18"/>
              </w:rPr>
              <w:t>-4,9</w:t>
            </w:r>
          </w:p>
        </w:tc>
      </w:tr>
      <w:tr w:rsidR="00C94BA1" w:rsidRPr="00081929" w:rsidTr="00271922">
        <w:trPr>
          <w:trHeight w:val="108"/>
        </w:trPr>
        <w:tc>
          <w:tcPr>
            <w:tcW w:w="4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081929" w:rsidRDefault="00C94BA1" w:rsidP="000C3E09">
            <w:pPr>
              <w:rPr>
                <w:color w:val="000000"/>
                <w:sz w:val="18"/>
                <w:szCs w:val="18"/>
              </w:rPr>
            </w:pPr>
            <w:r w:rsidRPr="00081929">
              <w:rPr>
                <w:color w:val="000000"/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A1" w:rsidRPr="00081929" w:rsidRDefault="00C94BA1" w:rsidP="000C3E09">
            <w:pPr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6808014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-10,8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Cs/>
                <w:sz w:val="18"/>
                <w:szCs w:val="18"/>
              </w:rPr>
            </w:pPr>
            <w:r w:rsidRPr="00081929">
              <w:rPr>
                <w:bCs/>
                <w:sz w:val="18"/>
                <w:szCs w:val="18"/>
              </w:rPr>
              <w:t>-61,0</w:t>
            </w:r>
          </w:p>
        </w:tc>
      </w:tr>
      <w:tr w:rsidR="00C94BA1" w:rsidRPr="00081929" w:rsidTr="00271922">
        <w:trPr>
          <w:trHeight w:val="173"/>
        </w:trPr>
        <w:tc>
          <w:tcPr>
            <w:tcW w:w="49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081929" w:rsidRDefault="00C94BA1" w:rsidP="000C3E0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1929"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A1" w:rsidRPr="00081929" w:rsidRDefault="00C94BA1" w:rsidP="000C3E09">
            <w:pPr>
              <w:rPr>
                <w:b/>
                <w:bCs/>
                <w:sz w:val="18"/>
                <w:szCs w:val="18"/>
              </w:rPr>
            </w:pPr>
            <w:r w:rsidRPr="00081929">
              <w:rPr>
                <w:b/>
                <w:bCs/>
                <w:sz w:val="18"/>
                <w:szCs w:val="18"/>
              </w:rPr>
              <w:t>10 03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929">
              <w:rPr>
                <w:b/>
                <w:bCs/>
                <w:color w:val="000000"/>
                <w:sz w:val="18"/>
                <w:szCs w:val="18"/>
              </w:rPr>
              <w:t>425,0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929">
              <w:rPr>
                <w:b/>
                <w:bCs/>
                <w:color w:val="000000"/>
                <w:sz w:val="18"/>
                <w:szCs w:val="18"/>
              </w:rPr>
              <w:t>613,7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/>
                <w:sz w:val="18"/>
                <w:szCs w:val="18"/>
              </w:rPr>
            </w:pPr>
            <w:r w:rsidRPr="00081929">
              <w:rPr>
                <w:b/>
                <w:sz w:val="18"/>
                <w:szCs w:val="18"/>
              </w:rPr>
              <w:t>188,7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bCs/>
                <w:sz w:val="18"/>
                <w:szCs w:val="18"/>
              </w:rPr>
            </w:pPr>
            <w:r w:rsidRPr="00081929">
              <w:rPr>
                <w:bCs/>
                <w:sz w:val="18"/>
                <w:szCs w:val="18"/>
              </w:rPr>
              <w:t>44,4</w:t>
            </w:r>
          </w:p>
        </w:tc>
      </w:tr>
      <w:tr w:rsidR="00C94BA1" w:rsidRPr="001B1643" w:rsidTr="00271922">
        <w:trPr>
          <w:trHeight w:val="60"/>
        </w:trPr>
        <w:tc>
          <w:tcPr>
            <w:tcW w:w="497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BA1" w:rsidRPr="00081929" w:rsidRDefault="00C94BA1" w:rsidP="000C3E09">
            <w:pPr>
              <w:rPr>
                <w:color w:val="000000"/>
                <w:sz w:val="18"/>
                <w:szCs w:val="18"/>
              </w:rPr>
            </w:pPr>
            <w:r w:rsidRPr="00081929">
              <w:rPr>
                <w:color w:val="000000"/>
                <w:sz w:val="18"/>
                <w:szCs w:val="18"/>
              </w:rPr>
              <w:t>Юридическая помощь отдельным категориям граждан</w:t>
            </w:r>
          </w:p>
        </w:tc>
        <w:tc>
          <w:tcPr>
            <w:tcW w:w="8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94BA1" w:rsidRPr="00081929" w:rsidRDefault="00C94BA1" w:rsidP="000C3E09">
            <w:pPr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2090100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 w:rsidRPr="00081929">
              <w:rPr>
                <w:color w:val="000000"/>
                <w:sz w:val="18"/>
                <w:szCs w:val="18"/>
              </w:rPr>
              <w:t>425,0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 w:rsidRPr="00081929">
              <w:rPr>
                <w:color w:val="000000"/>
                <w:sz w:val="18"/>
                <w:szCs w:val="18"/>
              </w:rPr>
              <w:t>613,7</w:t>
            </w:r>
          </w:p>
        </w:tc>
        <w:tc>
          <w:tcPr>
            <w:tcW w:w="9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081929" w:rsidRDefault="00C94BA1" w:rsidP="000C3E09">
            <w:pPr>
              <w:jc w:val="right"/>
              <w:rPr>
                <w:sz w:val="18"/>
                <w:szCs w:val="18"/>
              </w:rPr>
            </w:pPr>
            <w:r w:rsidRPr="00081929">
              <w:rPr>
                <w:sz w:val="18"/>
                <w:szCs w:val="18"/>
              </w:rPr>
              <w:t>188,7</w:t>
            </w:r>
          </w:p>
        </w:tc>
        <w:tc>
          <w:tcPr>
            <w:tcW w:w="7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4BA1" w:rsidRPr="00D15D16" w:rsidRDefault="00C94BA1" w:rsidP="000C3E09">
            <w:pPr>
              <w:jc w:val="right"/>
              <w:rPr>
                <w:bCs/>
                <w:sz w:val="18"/>
                <w:szCs w:val="18"/>
              </w:rPr>
            </w:pPr>
            <w:r w:rsidRPr="00081929">
              <w:rPr>
                <w:bCs/>
                <w:sz w:val="18"/>
                <w:szCs w:val="18"/>
              </w:rPr>
              <w:t>44,4</w:t>
            </w:r>
          </w:p>
        </w:tc>
      </w:tr>
    </w:tbl>
    <w:p w:rsidR="00271922" w:rsidRDefault="00C94BA1" w:rsidP="00C94BA1">
      <w:pPr>
        <w:ind w:firstLine="708"/>
        <w:jc w:val="both"/>
      </w:pPr>
      <w:r>
        <w:t xml:space="preserve">Увеличение расходов Комитета в 2015 году по отношению к 2014 году в общей </w:t>
      </w:r>
      <w:r w:rsidRPr="009F0E81">
        <w:t xml:space="preserve">сложности на </w:t>
      </w:r>
      <w:r>
        <w:t>24 933,7</w:t>
      </w:r>
      <w:r w:rsidRPr="009F0E81">
        <w:t xml:space="preserve"> тыс. руб., или на </w:t>
      </w:r>
      <w:r>
        <w:t>7,6</w:t>
      </w:r>
      <w:r w:rsidR="00271922">
        <w:t xml:space="preserve"> % обусловлено увеличением расходов на техническое обеспечение мировых судей</w:t>
      </w:r>
      <w:r w:rsidR="00DC205A">
        <w:t xml:space="preserve"> (закупка мебели, оргтехники)</w:t>
      </w:r>
      <w:r w:rsidR="00271922">
        <w:t>.</w:t>
      </w:r>
    </w:p>
    <w:p w:rsidR="00144958" w:rsidRPr="00DC12F2" w:rsidRDefault="00144958" w:rsidP="00144958">
      <w:pPr>
        <w:jc w:val="center"/>
        <w:rPr>
          <w:b/>
          <w:i/>
        </w:rPr>
      </w:pPr>
    </w:p>
    <w:p w:rsidR="00144958" w:rsidRPr="00DC12F2" w:rsidRDefault="00144958" w:rsidP="00144958">
      <w:pPr>
        <w:jc w:val="center"/>
      </w:pPr>
      <w:r w:rsidRPr="00DC12F2">
        <w:rPr>
          <w:b/>
          <w:i/>
        </w:rPr>
        <w:t>Динамика изменения дебиторской и кредиторской задолженностей</w:t>
      </w:r>
    </w:p>
    <w:p w:rsidR="00C94BA1" w:rsidRPr="00CC65FE" w:rsidRDefault="00C94BA1" w:rsidP="00C94BA1">
      <w:pPr>
        <w:ind w:firstLine="709"/>
        <w:jc w:val="both"/>
      </w:pPr>
      <w:r w:rsidRPr="00CC65FE">
        <w:t>Информация о динамике дебиторской и кредиторской задолженностей по состоянию на начало года и на конец</w:t>
      </w:r>
      <w:r>
        <w:t xml:space="preserve"> 2014 года представлена в таблице</w:t>
      </w:r>
      <w:r w:rsidRPr="00CC65FE">
        <w:t>.</w:t>
      </w:r>
    </w:p>
    <w:p w:rsidR="00C94BA1" w:rsidRPr="00CC65FE" w:rsidRDefault="00C94BA1" w:rsidP="00C94BA1">
      <w:pPr>
        <w:ind w:right="278"/>
        <w:jc w:val="right"/>
        <w:rPr>
          <w:i/>
          <w:sz w:val="20"/>
          <w:szCs w:val="20"/>
        </w:rPr>
      </w:pPr>
      <w:r w:rsidRPr="00CC65FE">
        <w:rPr>
          <w:i/>
          <w:sz w:val="20"/>
          <w:szCs w:val="20"/>
        </w:rPr>
        <w:t>тыс. руб.</w:t>
      </w:r>
    </w:p>
    <w:tbl>
      <w:tblPr>
        <w:tblW w:w="9442" w:type="dxa"/>
        <w:jc w:val="center"/>
        <w:tblLook w:val="0000"/>
      </w:tblPr>
      <w:tblGrid>
        <w:gridCol w:w="4601"/>
        <w:gridCol w:w="1181"/>
        <w:gridCol w:w="1234"/>
        <w:gridCol w:w="1169"/>
        <w:gridCol w:w="1257"/>
      </w:tblGrid>
      <w:tr w:rsidR="00C94BA1" w:rsidRPr="00A40993" w:rsidTr="00271922">
        <w:trPr>
          <w:trHeight w:val="255"/>
          <w:jc w:val="center"/>
        </w:trPr>
        <w:tc>
          <w:tcPr>
            <w:tcW w:w="460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0993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41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0993">
              <w:rPr>
                <w:b/>
                <w:bCs/>
                <w:sz w:val="18"/>
                <w:szCs w:val="18"/>
              </w:rPr>
              <w:t>Бюджетная деятельность</w:t>
            </w:r>
          </w:p>
        </w:tc>
      </w:tr>
      <w:tr w:rsidR="00C94BA1" w:rsidRPr="00A40993" w:rsidTr="00271922">
        <w:trPr>
          <w:trHeight w:val="255"/>
          <w:jc w:val="center"/>
        </w:trPr>
        <w:tc>
          <w:tcPr>
            <w:tcW w:w="46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BA1" w:rsidRPr="00A40993" w:rsidRDefault="00C94BA1" w:rsidP="000C3E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jc w:val="center"/>
              <w:rPr>
                <w:b/>
                <w:bCs/>
                <w:sz w:val="16"/>
                <w:szCs w:val="16"/>
              </w:rPr>
            </w:pPr>
            <w:r w:rsidRPr="00A40993">
              <w:rPr>
                <w:b/>
                <w:bCs/>
                <w:sz w:val="16"/>
                <w:szCs w:val="16"/>
              </w:rPr>
              <w:t>на 01.01.201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jc w:val="center"/>
              <w:rPr>
                <w:b/>
                <w:bCs/>
                <w:sz w:val="16"/>
                <w:szCs w:val="16"/>
              </w:rPr>
            </w:pPr>
            <w:r w:rsidRPr="00A40993">
              <w:rPr>
                <w:b/>
                <w:bCs/>
                <w:sz w:val="16"/>
                <w:szCs w:val="16"/>
              </w:rPr>
              <w:t>на 01.01.201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0993">
              <w:rPr>
                <w:b/>
                <w:bCs/>
                <w:sz w:val="18"/>
                <w:szCs w:val="18"/>
              </w:rPr>
              <w:t>Отклонение</w:t>
            </w:r>
          </w:p>
        </w:tc>
      </w:tr>
      <w:tr w:rsidR="00C94BA1" w:rsidRPr="00A40993" w:rsidTr="00271922">
        <w:trPr>
          <w:trHeight w:val="255"/>
          <w:jc w:val="center"/>
        </w:trPr>
        <w:tc>
          <w:tcPr>
            <w:tcW w:w="460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4BA1" w:rsidRPr="00A40993" w:rsidRDefault="00C94BA1" w:rsidP="000C3E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4BA1" w:rsidRPr="00A40993" w:rsidRDefault="00C94BA1" w:rsidP="000C3E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4BA1" w:rsidRPr="00A40993" w:rsidRDefault="00C94BA1" w:rsidP="000C3E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jc w:val="center"/>
              <w:rPr>
                <w:b/>
                <w:bCs/>
                <w:sz w:val="16"/>
                <w:szCs w:val="16"/>
              </w:rPr>
            </w:pPr>
            <w:r w:rsidRPr="00A40993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4BA1" w:rsidRPr="005F523B" w:rsidRDefault="00C94BA1" w:rsidP="000C3E09">
            <w:pPr>
              <w:jc w:val="center"/>
              <w:rPr>
                <w:b/>
                <w:bCs/>
                <w:sz w:val="18"/>
                <w:szCs w:val="18"/>
              </w:rPr>
            </w:pPr>
            <w:r w:rsidRPr="005F523B">
              <w:rPr>
                <w:b/>
                <w:bCs/>
                <w:sz w:val="18"/>
                <w:szCs w:val="18"/>
              </w:rPr>
              <w:t>%%</w:t>
            </w:r>
          </w:p>
        </w:tc>
      </w:tr>
      <w:tr w:rsidR="00C94BA1" w:rsidRPr="00A40993" w:rsidTr="00271922">
        <w:trPr>
          <w:trHeight w:val="20"/>
          <w:jc w:val="center"/>
        </w:trPr>
        <w:tc>
          <w:tcPr>
            <w:tcW w:w="46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0993">
              <w:rPr>
                <w:b/>
                <w:bCs/>
                <w:i/>
                <w:iCs/>
                <w:sz w:val="20"/>
                <w:szCs w:val="20"/>
              </w:rPr>
              <w:t>Дебит. задолженность ИТОГО:</w:t>
            </w:r>
            <w:r w:rsidRPr="00A40993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A40993">
              <w:rPr>
                <w:sz w:val="18"/>
                <w:szCs w:val="18"/>
              </w:rPr>
              <w:t>в том числе:</w:t>
            </w:r>
          </w:p>
        </w:tc>
        <w:tc>
          <w:tcPr>
            <w:tcW w:w="11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3 108</w:t>
            </w:r>
            <w:r w:rsidRPr="000F20A0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2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2 192,6</w:t>
            </w:r>
          </w:p>
        </w:tc>
        <w:tc>
          <w:tcPr>
            <w:tcW w:w="11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Pr="000F20A0" w:rsidRDefault="00C94BA1" w:rsidP="000C3E09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-916,2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94BA1" w:rsidRPr="005F523B" w:rsidRDefault="00C94BA1" w:rsidP="000C3E09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-29,5</w:t>
            </w:r>
          </w:p>
        </w:tc>
      </w:tr>
      <w:tr w:rsidR="00C94BA1" w:rsidRPr="00A40993" w:rsidTr="00271922">
        <w:trPr>
          <w:trHeight w:val="20"/>
          <w:jc w:val="center"/>
        </w:trPr>
        <w:tc>
          <w:tcPr>
            <w:tcW w:w="46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rPr>
                <w:sz w:val="18"/>
                <w:szCs w:val="18"/>
              </w:rPr>
            </w:pPr>
            <w:r w:rsidRPr="00A40993">
              <w:rPr>
                <w:sz w:val="18"/>
                <w:szCs w:val="18"/>
              </w:rPr>
              <w:t>расчеты по выданным авансам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 w:rsidRPr="000F20A0">
              <w:rPr>
                <w:sz w:val="18"/>
                <w:szCs w:val="18"/>
              </w:rPr>
              <w:t>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Pr="000F20A0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94BA1" w:rsidRPr="005F523B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7,2 раза</w:t>
            </w:r>
          </w:p>
        </w:tc>
      </w:tr>
      <w:tr w:rsidR="00C94BA1" w:rsidRPr="00A40993" w:rsidTr="00271922">
        <w:trPr>
          <w:trHeight w:val="20"/>
          <w:jc w:val="center"/>
        </w:trPr>
        <w:tc>
          <w:tcPr>
            <w:tcW w:w="46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EB2C8F" w:rsidRDefault="00C94BA1" w:rsidP="000C3E09">
            <w:pPr>
              <w:rPr>
                <w:sz w:val="18"/>
                <w:szCs w:val="18"/>
              </w:rPr>
            </w:pPr>
            <w:r w:rsidRPr="00EB2C8F">
              <w:rPr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 w:rsidRPr="000F20A0">
              <w:rPr>
                <w:sz w:val="18"/>
                <w:szCs w:val="18"/>
              </w:rPr>
              <w:t>2 4</w:t>
            </w:r>
            <w:r>
              <w:rPr>
                <w:sz w:val="18"/>
                <w:szCs w:val="18"/>
              </w:rPr>
              <w:t>91</w:t>
            </w:r>
            <w:r w:rsidRPr="000F20A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Pr="000F20A0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-940,5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94BA1" w:rsidRPr="005F523B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-37,8</w:t>
            </w:r>
          </w:p>
        </w:tc>
      </w:tr>
      <w:tr w:rsidR="00C94BA1" w:rsidRPr="00A40993" w:rsidTr="00271922">
        <w:trPr>
          <w:trHeight w:val="20"/>
          <w:jc w:val="center"/>
        </w:trPr>
        <w:tc>
          <w:tcPr>
            <w:tcW w:w="46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DA649E" w:rsidRDefault="00C94BA1" w:rsidP="000C3E09">
            <w:pPr>
              <w:rPr>
                <w:sz w:val="18"/>
                <w:szCs w:val="18"/>
              </w:rPr>
            </w:pPr>
            <w:r w:rsidRPr="00DA649E">
              <w:rPr>
                <w:sz w:val="18"/>
                <w:szCs w:val="18"/>
              </w:rPr>
              <w:t>расчеты по ущербу и иным доходам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DA649E" w:rsidRDefault="00C94BA1" w:rsidP="000C3E09">
            <w:pPr>
              <w:jc w:val="right"/>
              <w:rPr>
                <w:sz w:val="18"/>
                <w:szCs w:val="18"/>
              </w:rPr>
            </w:pPr>
            <w:r w:rsidRPr="00DA649E">
              <w:rPr>
                <w:sz w:val="18"/>
                <w:szCs w:val="18"/>
              </w:rPr>
              <w:t>61,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DA649E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Pr="000F20A0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94BA1" w:rsidRPr="005F523B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</w:t>
            </w:r>
          </w:p>
        </w:tc>
      </w:tr>
      <w:tr w:rsidR="00C94BA1" w:rsidRPr="00A40993" w:rsidTr="00271922">
        <w:trPr>
          <w:trHeight w:val="20"/>
          <w:jc w:val="center"/>
        </w:trPr>
        <w:tc>
          <w:tcPr>
            <w:tcW w:w="46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DA649E" w:rsidRDefault="00C94BA1" w:rsidP="000C3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DA649E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DA649E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Pr="00DA649E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94BA1" w:rsidRPr="005F523B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-5,4</w:t>
            </w:r>
          </w:p>
        </w:tc>
      </w:tr>
      <w:tr w:rsidR="00C94BA1" w:rsidRPr="00A40993" w:rsidTr="00271922">
        <w:trPr>
          <w:trHeight w:val="20"/>
          <w:jc w:val="center"/>
        </w:trPr>
        <w:tc>
          <w:tcPr>
            <w:tcW w:w="46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40993">
              <w:rPr>
                <w:b/>
                <w:bCs/>
                <w:i/>
                <w:iCs/>
                <w:sz w:val="20"/>
                <w:szCs w:val="20"/>
              </w:rPr>
              <w:t xml:space="preserve">Кредит. задолженность ИТОГО: </w:t>
            </w:r>
            <w:r w:rsidRPr="00A40993">
              <w:rPr>
                <w:sz w:val="20"/>
                <w:szCs w:val="20"/>
              </w:rPr>
              <w:t>в</w:t>
            </w:r>
            <w:r w:rsidRPr="00A40993">
              <w:rPr>
                <w:b/>
                <w:bCs/>
                <w:sz w:val="20"/>
                <w:szCs w:val="20"/>
              </w:rPr>
              <w:t xml:space="preserve"> </w:t>
            </w:r>
            <w:r w:rsidRPr="00A40993">
              <w:rPr>
                <w:sz w:val="18"/>
                <w:szCs w:val="18"/>
              </w:rPr>
              <w:t>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Pr="000F20A0" w:rsidRDefault="00C94BA1" w:rsidP="000C3E0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F20A0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4 496,7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Pr="000F20A0" w:rsidRDefault="00C94BA1" w:rsidP="000C3E0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8 047,6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Pr="000F20A0" w:rsidRDefault="00C94BA1" w:rsidP="000C3E09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-6 449,1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94BA1" w:rsidRPr="005F523B" w:rsidRDefault="00C94BA1" w:rsidP="000C3E09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-65,2</w:t>
            </w:r>
          </w:p>
        </w:tc>
      </w:tr>
      <w:tr w:rsidR="00C94BA1" w:rsidRPr="00A40993" w:rsidTr="00271922">
        <w:trPr>
          <w:trHeight w:val="20"/>
          <w:jc w:val="center"/>
        </w:trPr>
        <w:tc>
          <w:tcPr>
            <w:tcW w:w="46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rPr>
                <w:sz w:val="18"/>
                <w:szCs w:val="18"/>
              </w:rPr>
            </w:pPr>
            <w:r w:rsidRPr="00A40993">
              <w:rPr>
                <w:sz w:val="18"/>
                <w:szCs w:val="18"/>
              </w:rPr>
              <w:t>расчеты по принятым обязательств</w:t>
            </w:r>
            <w:r>
              <w:rPr>
                <w:sz w:val="18"/>
                <w:szCs w:val="18"/>
              </w:rPr>
              <w:t>ам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 w:rsidRPr="000F20A0">
              <w:rPr>
                <w:sz w:val="18"/>
                <w:szCs w:val="18"/>
              </w:rPr>
              <w:t>7 065,2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1 508,2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Pr="000F20A0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-5 557,0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94BA1" w:rsidRPr="005F523B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-78,7</w:t>
            </w:r>
          </w:p>
        </w:tc>
      </w:tr>
      <w:tr w:rsidR="00C94BA1" w:rsidRPr="00A40993" w:rsidTr="00271922">
        <w:trPr>
          <w:trHeight w:val="20"/>
          <w:jc w:val="center"/>
        </w:trPr>
        <w:tc>
          <w:tcPr>
            <w:tcW w:w="46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rPr>
                <w:sz w:val="18"/>
                <w:szCs w:val="18"/>
              </w:rPr>
            </w:pPr>
            <w:r w:rsidRPr="00A40993">
              <w:rPr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 w:rsidRPr="000F20A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631,7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6 184,4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Pr="000F20A0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-447,3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94BA1" w:rsidRPr="005F523B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-6,7</w:t>
            </w:r>
          </w:p>
        </w:tc>
      </w:tr>
      <w:tr w:rsidR="00C94BA1" w:rsidRPr="00A40993" w:rsidTr="00271922">
        <w:trPr>
          <w:trHeight w:val="20"/>
          <w:jc w:val="center"/>
        </w:trPr>
        <w:tc>
          <w:tcPr>
            <w:tcW w:w="46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94BA1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-71,6</w:t>
            </w:r>
          </w:p>
        </w:tc>
      </w:tr>
      <w:tr w:rsidR="00C94BA1" w:rsidRPr="00A40993" w:rsidTr="00271922">
        <w:trPr>
          <w:trHeight w:val="20"/>
          <w:jc w:val="center"/>
        </w:trPr>
        <w:tc>
          <w:tcPr>
            <w:tcW w:w="4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rPr>
                <w:sz w:val="18"/>
                <w:szCs w:val="18"/>
              </w:rPr>
            </w:pPr>
            <w:r w:rsidRPr="00A40993">
              <w:rPr>
                <w:sz w:val="18"/>
                <w:szCs w:val="18"/>
              </w:rPr>
              <w:t>прочие расчеты с кредиторами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 w:rsidRPr="000F20A0">
              <w:rPr>
                <w:sz w:val="18"/>
                <w:szCs w:val="18"/>
              </w:rPr>
              <w:t>778,3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Pr="000F20A0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-778,3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94BA1" w:rsidRPr="005F523B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94BA1" w:rsidRPr="00A40993" w:rsidTr="00271922">
        <w:trPr>
          <w:trHeight w:val="20"/>
          <w:jc w:val="center"/>
        </w:trPr>
        <w:tc>
          <w:tcPr>
            <w:tcW w:w="46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A40993" w:rsidRDefault="00C94BA1" w:rsidP="000C3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доходам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Pr="000F20A0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A1" w:rsidRDefault="00C94BA1" w:rsidP="000C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BA1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C94BA1" w:rsidRDefault="00C94BA1" w:rsidP="000C3E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44958" w:rsidRPr="00DC12F2" w:rsidRDefault="00144958" w:rsidP="00144958">
      <w:pPr>
        <w:ind w:firstLine="720"/>
        <w:jc w:val="both"/>
        <w:rPr>
          <w:i/>
          <w:u w:val="single"/>
        </w:rPr>
      </w:pPr>
    </w:p>
    <w:p w:rsidR="00144958" w:rsidRPr="000C3E09" w:rsidRDefault="00144958" w:rsidP="00144958">
      <w:pPr>
        <w:ind w:firstLine="720"/>
        <w:jc w:val="both"/>
      </w:pPr>
      <w:r w:rsidRPr="000C3E09">
        <w:t xml:space="preserve">Дебиторская задолженность </w:t>
      </w:r>
      <w:r w:rsidR="00235BF4" w:rsidRPr="000C3E09">
        <w:t>Комитета</w:t>
      </w:r>
      <w:r w:rsidRPr="000C3E09">
        <w:t xml:space="preserve"> на 01.01.2016 составила </w:t>
      </w:r>
      <w:r w:rsidR="00235BF4" w:rsidRPr="000C3E09">
        <w:t>2 192,6</w:t>
      </w:r>
      <w:r w:rsidRPr="000C3E09">
        <w:t xml:space="preserve"> тыс. руб., что на </w:t>
      </w:r>
      <w:r w:rsidR="00235BF4" w:rsidRPr="000C3E09">
        <w:t>916,2</w:t>
      </w:r>
      <w:r w:rsidRPr="000C3E09">
        <w:t xml:space="preserve"> тыс. руб., или на 2</w:t>
      </w:r>
      <w:r w:rsidR="00235BF4" w:rsidRPr="000C3E09">
        <w:t>9</w:t>
      </w:r>
      <w:r w:rsidRPr="000C3E09">
        <w:t>,5% меньше соответствующего показателя за 2014 год.</w:t>
      </w:r>
    </w:p>
    <w:p w:rsidR="00271922" w:rsidRDefault="00C94BA1" w:rsidP="00C94BA1">
      <w:pPr>
        <w:ind w:firstLine="720"/>
        <w:jc w:val="both"/>
      </w:pPr>
      <w:r w:rsidRPr="000C3E09">
        <w:t>Основная сумма задолженности приходится на расчеты с подотчетными лицами –</w:t>
      </w:r>
      <w:r>
        <w:t xml:space="preserve">             </w:t>
      </w:r>
      <w:r w:rsidR="00271922">
        <w:t>1 550,5 тыс. руб.</w:t>
      </w:r>
      <w:r>
        <w:t xml:space="preserve"> </w:t>
      </w:r>
      <w:r w:rsidR="00620467">
        <w:t>- остаток</w:t>
      </w:r>
      <w:r w:rsidR="00620467" w:rsidRPr="00620467">
        <w:t xml:space="preserve"> </w:t>
      </w:r>
      <w:r w:rsidR="00620467">
        <w:t>государственных знаков почтовой оплаты (почтовые марки), выданных в подотчет на судебные участки</w:t>
      </w:r>
      <w:r w:rsidR="00620467" w:rsidRPr="00C46105">
        <w:t>.</w:t>
      </w:r>
    </w:p>
    <w:p w:rsidR="00C94BA1" w:rsidRDefault="00C94BA1" w:rsidP="00C94BA1">
      <w:pPr>
        <w:ind w:firstLine="720"/>
        <w:jc w:val="both"/>
      </w:pPr>
      <w:r>
        <w:t>Н</w:t>
      </w:r>
      <w:r w:rsidRPr="007A542D">
        <w:t xml:space="preserve">ереальная к взысканию </w:t>
      </w:r>
      <w:r>
        <w:t>дебиторская</w:t>
      </w:r>
      <w:r w:rsidRPr="007A542D">
        <w:t xml:space="preserve"> задолженность на 01.01.201</w:t>
      </w:r>
      <w:r>
        <w:t>6</w:t>
      </w:r>
      <w:r w:rsidRPr="007A542D">
        <w:t xml:space="preserve"> отсутствует.</w:t>
      </w:r>
    </w:p>
    <w:p w:rsidR="00C94BA1" w:rsidRPr="00DC12F2" w:rsidRDefault="00C94BA1" w:rsidP="00144958">
      <w:pPr>
        <w:ind w:firstLine="720"/>
        <w:jc w:val="both"/>
        <w:rPr>
          <w:bCs/>
        </w:rPr>
      </w:pPr>
    </w:p>
    <w:p w:rsidR="00A12E9D" w:rsidRDefault="00144958" w:rsidP="00DC205A">
      <w:pPr>
        <w:ind w:firstLine="709"/>
        <w:jc w:val="both"/>
      </w:pPr>
      <w:r w:rsidRPr="00DC12F2">
        <w:t xml:space="preserve">Кредиторская задолженность </w:t>
      </w:r>
      <w:r w:rsidR="00620467">
        <w:t>Комитета</w:t>
      </w:r>
      <w:r w:rsidRPr="00DC12F2">
        <w:t xml:space="preserve"> на 01.01.201</w:t>
      </w:r>
      <w:r>
        <w:t>6</w:t>
      </w:r>
      <w:r w:rsidRPr="00DC12F2">
        <w:t xml:space="preserve"> составила </w:t>
      </w:r>
      <w:r w:rsidR="00620467">
        <w:t xml:space="preserve">8 047,6 </w:t>
      </w:r>
      <w:r w:rsidR="00A12E9D">
        <w:t>тыс. руб.</w:t>
      </w:r>
      <w:r w:rsidR="00DC205A">
        <w:t xml:space="preserve">, </w:t>
      </w:r>
      <w:r w:rsidR="003100C8">
        <w:t>то есть</w:t>
      </w:r>
      <w:r w:rsidR="00DC205A">
        <w:t xml:space="preserve"> сократилась за год на 6</w:t>
      </w:r>
      <w:r w:rsidR="00CA6FAD">
        <w:t> </w:t>
      </w:r>
      <w:r w:rsidR="00DC205A">
        <w:t>449,1 тыс. рублей. Основная доля кредиторской задолженности приходится на расчеты по платежам в бюджеты – 6</w:t>
      </w:r>
      <w:r w:rsidR="003A6CAE">
        <w:t> </w:t>
      </w:r>
      <w:r w:rsidR="00DC205A">
        <w:t xml:space="preserve">184,4 тыс. руб., </w:t>
      </w:r>
      <w:r w:rsidR="003100C8">
        <w:t>в т.ч.</w:t>
      </w:r>
      <w:r w:rsidR="00620467">
        <w:t xml:space="preserve"> </w:t>
      </w:r>
      <w:r w:rsidR="00DC205A">
        <w:t>6 100,7 тыс. руб. -</w:t>
      </w:r>
      <w:r w:rsidR="003A6CAE">
        <w:t xml:space="preserve"> </w:t>
      </w:r>
      <w:r w:rsidR="00DC205A">
        <w:t xml:space="preserve">задолженность </w:t>
      </w:r>
      <w:r w:rsidR="003A6CAE">
        <w:t xml:space="preserve">по </w:t>
      </w:r>
      <w:r w:rsidR="000C3E09">
        <w:t>страховым взносам на обязательное медицинское и пе</w:t>
      </w:r>
      <w:r w:rsidR="003A6CAE">
        <w:t>нсионное страхование</w:t>
      </w:r>
      <w:r w:rsidR="000C3E09">
        <w:t>.</w:t>
      </w:r>
      <w:r w:rsidR="00A12E9D" w:rsidRPr="00A12E9D">
        <w:t xml:space="preserve"> </w:t>
      </w:r>
    </w:p>
    <w:p w:rsidR="000C3E09" w:rsidRDefault="00A12E9D" w:rsidP="000C3E09">
      <w:pPr>
        <w:ind w:firstLine="720"/>
        <w:jc w:val="both"/>
      </w:pPr>
      <w:r>
        <w:t xml:space="preserve">Основная причина образования задолженности - </w:t>
      </w:r>
      <w:r w:rsidRPr="00081929">
        <w:t>отсутствие финансирования</w:t>
      </w:r>
      <w:r>
        <w:t xml:space="preserve"> Облфином заявок на оплату расходов по уплате обязательных платежей за декабрь 2015 года в государственные внебюджетные фонды, а также непредставлением в Комитет поставщиками актов выполненных работ в срок до 25.12.2015</w:t>
      </w:r>
      <w:r w:rsidRPr="00081929">
        <w:t>.</w:t>
      </w:r>
    </w:p>
    <w:p w:rsidR="00401B66" w:rsidRDefault="00401B66" w:rsidP="00144958">
      <w:pPr>
        <w:autoSpaceDE w:val="0"/>
        <w:autoSpaceDN w:val="0"/>
        <w:adjustRightInd w:val="0"/>
        <w:jc w:val="center"/>
        <w:rPr>
          <w:b/>
          <w:i/>
        </w:rPr>
      </w:pPr>
    </w:p>
    <w:p w:rsidR="00225DBB" w:rsidRDefault="00225DBB" w:rsidP="00144958">
      <w:pPr>
        <w:autoSpaceDE w:val="0"/>
        <w:autoSpaceDN w:val="0"/>
        <w:adjustRightInd w:val="0"/>
        <w:jc w:val="center"/>
        <w:rPr>
          <w:b/>
          <w:i/>
        </w:rPr>
      </w:pPr>
    </w:p>
    <w:p w:rsidR="00144958" w:rsidRPr="00DC12F2" w:rsidRDefault="00144958" w:rsidP="00144958">
      <w:pPr>
        <w:autoSpaceDE w:val="0"/>
        <w:autoSpaceDN w:val="0"/>
        <w:adjustRightInd w:val="0"/>
        <w:jc w:val="center"/>
      </w:pPr>
      <w:r w:rsidRPr="00DC12F2">
        <w:rPr>
          <w:b/>
          <w:i/>
        </w:rPr>
        <w:t>Анализ достижения поставленных целей и ожидаемых результатов</w:t>
      </w:r>
    </w:p>
    <w:p w:rsidR="000C3E09" w:rsidRDefault="000C3E09" w:rsidP="000C3E09">
      <w:pPr>
        <w:autoSpaceDE w:val="0"/>
        <w:autoSpaceDN w:val="0"/>
        <w:adjustRightInd w:val="0"/>
        <w:ind w:firstLine="720"/>
        <w:jc w:val="both"/>
      </w:pPr>
      <w:r>
        <w:t xml:space="preserve">На 2015 год государственное задание на выполнение госуслуги по оказанию бесплатной юридической помощи доведено ГКУ «Государственное юридическое бюро Волгоградской </w:t>
      </w:r>
      <w:r w:rsidRPr="00DF6466">
        <w:t>области»</w:t>
      </w:r>
      <w:r>
        <w:t>.</w:t>
      </w:r>
    </w:p>
    <w:p w:rsidR="000C3E09" w:rsidRDefault="000C3E09" w:rsidP="000C3E09">
      <w:pPr>
        <w:autoSpaceDE w:val="0"/>
        <w:autoSpaceDN w:val="0"/>
        <w:adjustRightInd w:val="0"/>
        <w:ind w:firstLine="720"/>
        <w:jc w:val="both"/>
      </w:pPr>
      <w:r>
        <w:t xml:space="preserve">Сведения о достигнутых показателях приведены в </w:t>
      </w:r>
      <w:r w:rsidRPr="00FB54A7">
        <w:t>следующей таблице.</w:t>
      </w:r>
    </w:p>
    <w:p w:rsidR="003A6CAE" w:rsidRDefault="003A6CAE" w:rsidP="000C3E09">
      <w:pPr>
        <w:ind w:firstLine="720"/>
        <w:jc w:val="both"/>
      </w:pPr>
    </w:p>
    <w:tbl>
      <w:tblPr>
        <w:tblW w:w="9640" w:type="dxa"/>
        <w:tblInd w:w="-34" w:type="dxa"/>
        <w:tblLayout w:type="fixed"/>
        <w:tblLook w:val="04A0"/>
      </w:tblPr>
      <w:tblGrid>
        <w:gridCol w:w="6073"/>
        <w:gridCol w:w="1113"/>
        <w:gridCol w:w="1178"/>
        <w:gridCol w:w="1276"/>
      </w:tblGrid>
      <w:tr w:rsidR="003A6CAE" w:rsidRPr="0058273A" w:rsidTr="003A6CAE">
        <w:trPr>
          <w:trHeight w:val="255"/>
        </w:trPr>
        <w:tc>
          <w:tcPr>
            <w:tcW w:w="60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CAE" w:rsidRPr="0058273A" w:rsidRDefault="003A6CAE" w:rsidP="00CA6FAD">
            <w:pPr>
              <w:jc w:val="center"/>
              <w:rPr>
                <w:sz w:val="20"/>
                <w:szCs w:val="20"/>
              </w:rPr>
            </w:pPr>
            <w:r w:rsidRPr="0058273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A6CAE" w:rsidRPr="0058273A" w:rsidRDefault="003A6CAE" w:rsidP="00CA6FAD">
            <w:pPr>
              <w:jc w:val="center"/>
              <w:rPr>
                <w:sz w:val="20"/>
                <w:szCs w:val="20"/>
              </w:rPr>
            </w:pPr>
            <w:r w:rsidRPr="0058273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CAE" w:rsidRPr="0058273A" w:rsidRDefault="003A6CAE" w:rsidP="00CA6FAD">
            <w:pPr>
              <w:jc w:val="center"/>
              <w:rPr>
                <w:sz w:val="20"/>
                <w:szCs w:val="20"/>
              </w:rPr>
            </w:pPr>
            <w:r w:rsidRPr="0058273A">
              <w:rPr>
                <w:sz w:val="20"/>
                <w:szCs w:val="20"/>
              </w:rPr>
              <w:t>По плану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6CAE" w:rsidRPr="0058273A" w:rsidRDefault="003A6CAE" w:rsidP="00CA6FAD">
            <w:pPr>
              <w:jc w:val="center"/>
              <w:rPr>
                <w:sz w:val="20"/>
                <w:szCs w:val="20"/>
              </w:rPr>
            </w:pPr>
            <w:r w:rsidRPr="0058273A">
              <w:rPr>
                <w:sz w:val="20"/>
                <w:szCs w:val="20"/>
              </w:rPr>
              <w:t>Фактически</w:t>
            </w:r>
          </w:p>
        </w:tc>
      </w:tr>
      <w:tr w:rsidR="003A6CAE" w:rsidRPr="0058273A" w:rsidTr="003A6CAE">
        <w:trPr>
          <w:trHeight w:val="255"/>
        </w:trPr>
        <w:tc>
          <w:tcPr>
            <w:tcW w:w="607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A6CAE" w:rsidRPr="0058273A" w:rsidRDefault="003A6CAE" w:rsidP="00CA6FAD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A6CAE" w:rsidRPr="0058273A" w:rsidRDefault="003A6CAE" w:rsidP="00CA6FAD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A6CAE" w:rsidRPr="0058273A" w:rsidRDefault="003A6CAE" w:rsidP="00CA6F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6CAE" w:rsidRPr="0058273A" w:rsidRDefault="003A6CAE" w:rsidP="00CA6FAD">
            <w:pPr>
              <w:rPr>
                <w:sz w:val="20"/>
                <w:szCs w:val="20"/>
              </w:rPr>
            </w:pPr>
          </w:p>
        </w:tc>
      </w:tr>
      <w:tr w:rsidR="003A6CAE" w:rsidRPr="0058273A" w:rsidTr="003A6CAE">
        <w:trPr>
          <w:trHeight w:val="1122"/>
        </w:trPr>
        <w:tc>
          <w:tcPr>
            <w:tcW w:w="607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A6CAE" w:rsidRPr="00823DD3" w:rsidRDefault="003A6CAE" w:rsidP="00CA6FAD">
            <w:pPr>
              <w:rPr>
                <w:sz w:val="20"/>
                <w:szCs w:val="20"/>
              </w:rPr>
            </w:pPr>
            <w:r w:rsidRPr="00823DD3">
              <w:rPr>
                <w:sz w:val="20"/>
                <w:szCs w:val="20"/>
              </w:rPr>
              <w:t>Доля государственных услуг по представлению бесплатной юридической помощи, на которую отсутствуют обоснованные жалобы от общего количества государственных услуг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CAE" w:rsidRPr="00823DD3" w:rsidRDefault="003A6CAE" w:rsidP="00CA6FAD">
            <w:pPr>
              <w:jc w:val="center"/>
              <w:rPr>
                <w:sz w:val="20"/>
                <w:szCs w:val="20"/>
              </w:rPr>
            </w:pPr>
            <w:r w:rsidRPr="00823DD3">
              <w:rPr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CAE" w:rsidRPr="00823DD3" w:rsidRDefault="003A6CAE" w:rsidP="00CA6FAD">
            <w:pPr>
              <w:jc w:val="center"/>
              <w:rPr>
                <w:sz w:val="20"/>
                <w:szCs w:val="20"/>
              </w:rPr>
            </w:pPr>
            <w:r w:rsidRPr="00823DD3">
              <w:rPr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6CAE" w:rsidRPr="0058273A" w:rsidRDefault="003A6CAE" w:rsidP="00CA6FAD">
            <w:pPr>
              <w:jc w:val="center"/>
              <w:rPr>
                <w:sz w:val="20"/>
                <w:szCs w:val="20"/>
              </w:rPr>
            </w:pPr>
            <w:r w:rsidRPr="00823DD3">
              <w:rPr>
                <w:sz w:val="20"/>
                <w:szCs w:val="20"/>
              </w:rPr>
              <w:t>100,0</w:t>
            </w:r>
          </w:p>
        </w:tc>
      </w:tr>
      <w:tr w:rsidR="003A6CAE" w:rsidRPr="0058273A" w:rsidTr="003100C8">
        <w:trPr>
          <w:trHeight w:val="255"/>
        </w:trPr>
        <w:tc>
          <w:tcPr>
            <w:tcW w:w="607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CAE" w:rsidRPr="0058273A" w:rsidRDefault="003A6CAE" w:rsidP="00CA6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квалификации специалистов, оказывающих государственную услугу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CAE" w:rsidRPr="0058273A" w:rsidRDefault="003A6CAE" w:rsidP="00CA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CAE" w:rsidRPr="0058273A" w:rsidRDefault="003A6CAE" w:rsidP="00CA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A6CAE" w:rsidRPr="0058273A" w:rsidRDefault="003A6CAE" w:rsidP="00CA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A6CAE" w:rsidRPr="0058273A" w:rsidTr="003100C8">
        <w:trPr>
          <w:trHeight w:val="510"/>
        </w:trPr>
        <w:tc>
          <w:tcPr>
            <w:tcW w:w="607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CAE" w:rsidRPr="00823DD3" w:rsidRDefault="003A6CAE" w:rsidP="00CA6FAD">
            <w:pPr>
              <w:rPr>
                <w:sz w:val="20"/>
                <w:szCs w:val="20"/>
              </w:rPr>
            </w:pPr>
            <w:r w:rsidRPr="00823DD3">
              <w:rPr>
                <w:sz w:val="20"/>
                <w:szCs w:val="20"/>
              </w:rPr>
              <w:t>Оказание бесплатной юридической помощи (государственное задание)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CAE" w:rsidRPr="00823DD3" w:rsidRDefault="003A6CAE" w:rsidP="00CA6FAD">
            <w:pPr>
              <w:jc w:val="center"/>
              <w:rPr>
                <w:sz w:val="20"/>
                <w:szCs w:val="20"/>
              </w:rPr>
            </w:pPr>
            <w:r w:rsidRPr="00823DD3">
              <w:rPr>
                <w:sz w:val="20"/>
                <w:szCs w:val="20"/>
              </w:rPr>
              <w:t>ед.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6CAE" w:rsidRPr="00823DD3" w:rsidRDefault="003A6CAE" w:rsidP="00CA6FAD">
            <w:pPr>
              <w:jc w:val="center"/>
              <w:rPr>
                <w:sz w:val="20"/>
                <w:szCs w:val="20"/>
              </w:rPr>
            </w:pPr>
            <w:r w:rsidRPr="00823DD3">
              <w:rPr>
                <w:sz w:val="20"/>
                <w:szCs w:val="20"/>
              </w:rPr>
              <w:t>8 000,0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6CAE" w:rsidRPr="0058273A" w:rsidRDefault="003A6CAE" w:rsidP="00CA6FAD">
            <w:pPr>
              <w:jc w:val="center"/>
              <w:rPr>
                <w:sz w:val="20"/>
                <w:szCs w:val="20"/>
              </w:rPr>
            </w:pPr>
            <w:r w:rsidRPr="00823DD3">
              <w:rPr>
                <w:sz w:val="20"/>
                <w:szCs w:val="20"/>
              </w:rPr>
              <w:t>8 436,0</w:t>
            </w:r>
          </w:p>
        </w:tc>
      </w:tr>
    </w:tbl>
    <w:p w:rsidR="003A6CAE" w:rsidRDefault="000C3E09" w:rsidP="000C3E09">
      <w:pPr>
        <w:ind w:firstLine="720"/>
        <w:jc w:val="both"/>
      </w:pPr>
      <w:r w:rsidRPr="0029097D">
        <w:t xml:space="preserve">Как видно из представленных данных, </w:t>
      </w:r>
      <w:r w:rsidR="003A6CAE" w:rsidRPr="0029097D">
        <w:t xml:space="preserve">все показатели, доведенные Учреждению по гос.заданию, выполнены </w:t>
      </w:r>
      <w:r w:rsidR="0029097D">
        <w:t xml:space="preserve">или перевыполнены </w:t>
      </w:r>
      <w:r w:rsidR="003A6CAE" w:rsidRPr="0029097D">
        <w:t>при его финансировании на 97,4%, недофинансирование составило 439,8 тыс. руб.</w:t>
      </w:r>
      <w:r w:rsidR="0029097D">
        <w:t>, что может свидетельствовать об отсутствии четкой увязки гос</w:t>
      </w:r>
      <w:r w:rsidR="00225DBB">
        <w:t xml:space="preserve">ударственного </w:t>
      </w:r>
      <w:r w:rsidR="0029097D">
        <w:t>задания в натуральных единицах с финансированием.</w:t>
      </w:r>
    </w:p>
    <w:p w:rsidR="00144958" w:rsidRPr="008C6BC7" w:rsidRDefault="00144958" w:rsidP="00144958">
      <w:pPr>
        <w:autoSpaceDE w:val="0"/>
        <w:autoSpaceDN w:val="0"/>
        <w:adjustRightInd w:val="0"/>
        <w:jc w:val="center"/>
      </w:pPr>
      <w:r w:rsidRPr="008C6BC7">
        <w:rPr>
          <w:b/>
          <w:i/>
        </w:rPr>
        <w:t>Организация  внутреннего финансового контроля</w:t>
      </w:r>
    </w:p>
    <w:p w:rsidR="000C3E09" w:rsidRDefault="000C3E09" w:rsidP="000C3E09">
      <w:pPr>
        <w:autoSpaceDE w:val="0"/>
        <w:autoSpaceDN w:val="0"/>
        <w:adjustRightInd w:val="0"/>
        <w:ind w:firstLine="720"/>
        <w:jc w:val="both"/>
      </w:pPr>
      <w:r>
        <w:t>Согласно представленной Комитетом информации м</w:t>
      </w:r>
      <w:r w:rsidRPr="002C1A1B">
        <w:t>ероприятиями внутреннего финансового контроля охвачены 18 бюджетных процеду</w:t>
      </w:r>
      <w:r>
        <w:t xml:space="preserve">р, проведена плановая проверка финансово-хозяйственной деятельности подведомственного учреждения за период с 01.01.2014 по 31.12.2014, выявлено нарушений на сумму 80,2 тыс. рублей. По результатам </w:t>
      </w:r>
      <w:r w:rsidR="003A6CAE">
        <w:t>проведенной работы</w:t>
      </w:r>
      <w:r>
        <w:t xml:space="preserve"> устранено нарушений на 79,5 тыс. руб., исполнителям указано на неукоснительное соблюдение правил внутреннего финансового контроля и обращено внимание на недопущение выявленных нарушений впредь.</w:t>
      </w:r>
    </w:p>
    <w:p w:rsidR="00144958" w:rsidRPr="008C6BC7" w:rsidRDefault="00144958" w:rsidP="00144958">
      <w:pPr>
        <w:autoSpaceDE w:val="0"/>
        <w:autoSpaceDN w:val="0"/>
        <w:adjustRightInd w:val="0"/>
        <w:ind w:firstLine="720"/>
        <w:jc w:val="center"/>
        <w:rPr>
          <w:b/>
          <w:i/>
        </w:rPr>
      </w:pPr>
    </w:p>
    <w:p w:rsidR="00144958" w:rsidRPr="008C6BC7" w:rsidRDefault="00144958" w:rsidP="00144958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8C6BC7">
        <w:rPr>
          <w:b/>
          <w:i/>
        </w:rPr>
        <w:t>Организация внутреннего финансового аудита.</w:t>
      </w:r>
    </w:p>
    <w:p w:rsidR="003A6CAE" w:rsidRDefault="000C3E09" w:rsidP="000C3E09">
      <w:pPr>
        <w:autoSpaceDE w:val="0"/>
        <w:autoSpaceDN w:val="0"/>
        <w:adjustRightInd w:val="0"/>
        <w:ind w:firstLine="720"/>
        <w:jc w:val="both"/>
      </w:pPr>
      <w:r w:rsidRPr="00F47DF9">
        <w:t xml:space="preserve">Приказом Комитета от 25.12.2014 № 02-02-06-03/274 «Об утверждении Плана осуществления внутреннего финансового аудита в комитете по обеспечению деятельности </w:t>
      </w:r>
      <w:r w:rsidRPr="0089257F">
        <w:t xml:space="preserve">мировых судей Волгоградской области на 2015 год» утвержден План осуществления внутреннего финансового аудита, </w:t>
      </w:r>
      <w:r w:rsidR="003A6CAE">
        <w:t>состоящий из 5-ти мероприятий, которые были проведены в течение года:</w:t>
      </w:r>
    </w:p>
    <w:p w:rsidR="001111F0" w:rsidRDefault="001111F0" w:rsidP="000C3E09">
      <w:pPr>
        <w:autoSpaceDE w:val="0"/>
        <w:autoSpaceDN w:val="0"/>
        <w:adjustRightInd w:val="0"/>
        <w:ind w:firstLine="720"/>
        <w:jc w:val="both"/>
      </w:pPr>
      <w:r>
        <w:t>-Аудит эффективности системы внутреннего финансового контроля при осуществлении полномочий главного администратора (администратора) доходов бюджета;</w:t>
      </w:r>
    </w:p>
    <w:p w:rsidR="001111F0" w:rsidRDefault="001111F0" w:rsidP="000C3E09">
      <w:pPr>
        <w:autoSpaceDE w:val="0"/>
        <w:autoSpaceDN w:val="0"/>
        <w:adjustRightInd w:val="0"/>
        <w:ind w:firstLine="720"/>
        <w:jc w:val="both"/>
      </w:pPr>
      <w:r>
        <w:t>-</w:t>
      </w:r>
      <w:r w:rsidR="00BF460A">
        <w:t>Аудит д</w:t>
      </w:r>
      <w:r>
        <w:t>остоверност</w:t>
      </w:r>
      <w:r w:rsidR="00BF460A">
        <w:t>и</w:t>
      </w:r>
      <w:r>
        <w:t xml:space="preserve"> и полнот</w:t>
      </w:r>
      <w:r w:rsidR="00BF460A">
        <w:t>ы</w:t>
      </w:r>
      <w:r>
        <w:t xml:space="preserve"> бюджетной отчетности главного администратора бюджетных средств;</w:t>
      </w:r>
    </w:p>
    <w:p w:rsidR="001111F0" w:rsidRDefault="001111F0" w:rsidP="000C3E09">
      <w:pPr>
        <w:autoSpaceDE w:val="0"/>
        <w:autoSpaceDN w:val="0"/>
        <w:adjustRightInd w:val="0"/>
        <w:ind w:firstLine="720"/>
        <w:jc w:val="both"/>
      </w:pPr>
      <w:r>
        <w:t xml:space="preserve">-Аудит эффективности системы внутреннего финансового контроля в отношении формирования (ведения) и исполнения бюджетных </w:t>
      </w:r>
      <w:r w:rsidR="00BF460A">
        <w:t xml:space="preserve">смет </w:t>
      </w:r>
      <w:r>
        <w:t>казенных учреждений;</w:t>
      </w:r>
    </w:p>
    <w:p w:rsidR="001111F0" w:rsidRDefault="001111F0" w:rsidP="000C3E09">
      <w:pPr>
        <w:autoSpaceDE w:val="0"/>
        <w:autoSpaceDN w:val="0"/>
        <w:adjustRightInd w:val="0"/>
        <w:ind w:firstLine="720"/>
        <w:jc w:val="both"/>
      </w:pPr>
      <w:r>
        <w:t>-Аудит эффективности системы внутреннего финансового контроля в отношении расходов бюджета;</w:t>
      </w:r>
    </w:p>
    <w:p w:rsidR="001111F0" w:rsidRDefault="001111F0" w:rsidP="000C3E09">
      <w:pPr>
        <w:autoSpaceDE w:val="0"/>
        <w:autoSpaceDN w:val="0"/>
        <w:adjustRightInd w:val="0"/>
        <w:ind w:firstLine="720"/>
        <w:jc w:val="both"/>
      </w:pPr>
      <w:r>
        <w:t>-Аудит эффективности системы внутреннего финансового контроля в отношении исполнения судебных актов по обращению взыскания на средства бюджетной системы РФ.</w:t>
      </w:r>
    </w:p>
    <w:p w:rsidR="00694DE3" w:rsidRDefault="001111F0" w:rsidP="000C3E09">
      <w:pPr>
        <w:autoSpaceDE w:val="0"/>
        <w:autoSpaceDN w:val="0"/>
        <w:adjustRightInd w:val="0"/>
        <w:ind w:firstLine="720"/>
        <w:jc w:val="both"/>
      </w:pPr>
      <w:r>
        <w:t xml:space="preserve">Согласно оценке, данной по результатам проведенных мероприятий, финансовый контроль в Комитете ведется на должном уровне, нарушений в ходе его исполнения </w:t>
      </w:r>
      <w:r w:rsidR="00694DE3">
        <w:t xml:space="preserve">не выявлено. </w:t>
      </w:r>
    </w:p>
    <w:p w:rsidR="00222ED8" w:rsidRDefault="00BF460A" w:rsidP="000C3E09">
      <w:pPr>
        <w:autoSpaceDE w:val="0"/>
        <w:autoSpaceDN w:val="0"/>
        <w:adjustRightInd w:val="0"/>
        <w:ind w:firstLine="720"/>
        <w:jc w:val="both"/>
      </w:pPr>
      <w:r>
        <w:lastRenderedPageBreak/>
        <w:t>В</w:t>
      </w:r>
      <w:r w:rsidR="00694DE3">
        <w:t xml:space="preserve"> декабре 2015 года </w:t>
      </w:r>
      <w:r w:rsidR="00702797">
        <w:t xml:space="preserve">в Комитете в рамках финансового аудита проведена проверка на предмет достоверности и полноты бюджетной отчетности главного администратора бюджетных средств за 2014 год. </w:t>
      </w:r>
    </w:p>
    <w:p w:rsidR="00222ED8" w:rsidRDefault="00BF460A" w:rsidP="00222ED8">
      <w:pPr>
        <w:autoSpaceDE w:val="0"/>
        <w:autoSpaceDN w:val="0"/>
        <w:adjustRightInd w:val="0"/>
        <w:ind w:firstLine="720"/>
        <w:jc w:val="both"/>
      </w:pPr>
      <w:r>
        <w:t>По мнению КСП</w:t>
      </w:r>
      <w:r w:rsidR="005E2B58">
        <w:t>,</w:t>
      </w:r>
      <w:r>
        <w:t xml:space="preserve"> проведение такого мероприятия в декабре 2015 года является </w:t>
      </w:r>
      <w:r w:rsidR="005E2B58">
        <w:t xml:space="preserve">свидетельством </w:t>
      </w:r>
      <w:r>
        <w:t>формальн</w:t>
      </w:r>
      <w:r w:rsidR="005E2B58">
        <w:t>ого</w:t>
      </w:r>
      <w:r>
        <w:t xml:space="preserve"> подход</w:t>
      </w:r>
      <w:r w:rsidR="005E2B58">
        <w:t>а</w:t>
      </w:r>
      <w:r>
        <w:t xml:space="preserve">, поскольку целесообразность его проведения </w:t>
      </w:r>
      <w:r w:rsidR="005E2B58">
        <w:t xml:space="preserve">в этот момент уже </w:t>
      </w:r>
      <w:r>
        <w:t>отсутствовала</w:t>
      </w:r>
      <w:r w:rsidR="005E2B58">
        <w:t>.</w:t>
      </w:r>
      <w:r>
        <w:t xml:space="preserve"> </w:t>
      </w:r>
      <w:r w:rsidR="005E2B58">
        <w:t>О</w:t>
      </w:r>
      <w:r>
        <w:t>тчетность за 2014 год проверялась как Облфином (06.02.2015), так и КСП (акт проверки от 01.04.2015)</w:t>
      </w:r>
      <w:r w:rsidR="0027520E">
        <w:t xml:space="preserve">. При этом </w:t>
      </w:r>
      <w:bookmarkStart w:id="1" w:name="sub_160214"/>
      <w:r w:rsidR="0027520E">
        <w:t>о</w:t>
      </w:r>
      <w:r w:rsidR="00222ED8">
        <w:t>тчетность 2015 года в рамках проведения финансового аудита Комитетом не пров</w:t>
      </w:r>
      <w:r w:rsidR="00401B66">
        <w:t>ерялась</w:t>
      </w:r>
      <w:r w:rsidR="00222ED8">
        <w:t>.</w:t>
      </w:r>
      <w:r w:rsidR="0027520E">
        <w:t xml:space="preserve"> </w:t>
      </w:r>
      <w:r w:rsidR="005E2B58">
        <w:t xml:space="preserve">В результате </w:t>
      </w:r>
      <w:r w:rsidR="0027520E">
        <w:t>проверк</w:t>
      </w:r>
      <w:r w:rsidR="005E2B58">
        <w:t>и</w:t>
      </w:r>
      <w:r w:rsidR="0027520E">
        <w:t xml:space="preserve"> отчетности</w:t>
      </w:r>
      <w:r w:rsidR="005E2B58">
        <w:t xml:space="preserve"> </w:t>
      </w:r>
      <w:r w:rsidR="0027520E">
        <w:t xml:space="preserve">2015 года </w:t>
      </w:r>
      <w:r w:rsidR="005E2B58">
        <w:t xml:space="preserve">КСП </w:t>
      </w:r>
      <w:r w:rsidR="0027520E">
        <w:t>установлены нарушения Инструкций №157н и №191н.</w:t>
      </w:r>
    </w:p>
    <w:bookmarkEnd w:id="1"/>
    <w:p w:rsidR="000C3E09" w:rsidRDefault="000C3E09" w:rsidP="000C3E09">
      <w:pPr>
        <w:ind w:firstLine="709"/>
        <w:jc w:val="both"/>
      </w:pPr>
    </w:p>
    <w:p w:rsidR="00144958" w:rsidRPr="00E141A8" w:rsidRDefault="00144958" w:rsidP="00144958">
      <w:pPr>
        <w:ind w:firstLine="426"/>
        <w:rPr>
          <w:b/>
          <w:i/>
        </w:rPr>
      </w:pPr>
      <w:r w:rsidRPr="00E141A8">
        <w:rPr>
          <w:b/>
          <w:i/>
        </w:rPr>
        <w:t>Выводы:</w:t>
      </w:r>
    </w:p>
    <w:p w:rsidR="00144958" w:rsidRDefault="005E2B58" w:rsidP="00144958">
      <w:pPr>
        <w:ind w:firstLine="709"/>
        <w:jc w:val="both"/>
      </w:pPr>
      <w:r>
        <w:rPr>
          <w:b/>
        </w:rPr>
        <w:t>1</w:t>
      </w:r>
      <w:r w:rsidR="00144958" w:rsidRPr="005417D8">
        <w:rPr>
          <w:b/>
        </w:rPr>
        <w:t>.</w:t>
      </w:r>
      <w:r w:rsidR="00144958" w:rsidRPr="005417D8">
        <w:t xml:space="preserve"> Проверкой установлены следующие нарушени</w:t>
      </w:r>
      <w:r w:rsidR="00AE7941">
        <w:t>я</w:t>
      </w:r>
      <w:r w:rsidR="00144958" w:rsidRPr="005417D8">
        <w:t xml:space="preserve"> в </w:t>
      </w:r>
      <w:r w:rsidR="00AE7941">
        <w:t xml:space="preserve">бюджетном </w:t>
      </w:r>
      <w:r w:rsidR="00144958" w:rsidRPr="005417D8">
        <w:t>учете и составлении отчетности:</w:t>
      </w:r>
    </w:p>
    <w:p w:rsidR="00AE7941" w:rsidRDefault="00AE7941" w:rsidP="00AE7941">
      <w:pPr>
        <w:pStyle w:val="a3"/>
        <w:autoSpaceDE w:val="0"/>
        <w:autoSpaceDN w:val="0"/>
        <w:adjustRightInd w:val="0"/>
        <w:ind w:left="0" w:firstLine="720"/>
        <w:jc w:val="both"/>
        <w:rPr>
          <w:rFonts w:eastAsiaTheme="minorHAnsi"/>
          <w:lang w:eastAsia="en-US"/>
        </w:rPr>
      </w:pPr>
      <w:r>
        <w:t>-в</w:t>
      </w:r>
      <w:r>
        <w:rPr>
          <w:rFonts w:eastAsiaTheme="minorHAnsi"/>
          <w:lang w:eastAsia="en-US"/>
        </w:rPr>
        <w:t xml:space="preserve"> нарушение требований п. 20 Инструкции №191н в «Справке о наличии имущества и обязательств на забалансовых счетах» (ф.0503130) Комитета и Учреждения </w:t>
      </w:r>
      <w:r w:rsidRPr="00A27283">
        <w:rPr>
          <w:rFonts w:eastAsiaTheme="minorHAnsi"/>
          <w:lang w:eastAsia="en-US"/>
        </w:rPr>
        <w:t xml:space="preserve">отсутствовала информация о поступивших на счета и выбывших </w:t>
      </w:r>
      <w:r>
        <w:rPr>
          <w:rFonts w:eastAsiaTheme="minorHAnsi"/>
          <w:lang w:eastAsia="en-US"/>
        </w:rPr>
        <w:t>со счетов денежных средствах</w:t>
      </w:r>
      <w:r w:rsidRPr="00A27283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782EA9">
        <w:rPr>
          <w:rFonts w:eastAsiaTheme="minorHAnsi"/>
          <w:lang w:eastAsia="en-US"/>
        </w:rPr>
        <w:t>В ходе проверки представл</w:t>
      </w:r>
      <w:r>
        <w:rPr>
          <w:rFonts w:eastAsiaTheme="minorHAnsi"/>
          <w:lang w:eastAsia="en-US"/>
        </w:rPr>
        <w:t>ены уточненные формы отчетности;</w:t>
      </w:r>
    </w:p>
    <w:p w:rsidR="00AE7941" w:rsidRDefault="0080540C" w:rsidP="00AE7941">
      <w:pPr>
        <w:pStyle w:val="a3"/>
        <w:autoSpaceDE w:val="0"/>
        <w:autoSpaceDN w:val="0"/>
        <w:adjustRightInd w:val="0"/>
        <w:ind w:left="0" w:firstLine="720"/>
        <w:jc w:val="both"/>
      </w:pPr>
      <w:r>
        <w:t>-в нарушение требований п.163 Инструкции 191н в «Сведениях об исполнении бюджета» (ф.0503164) в разделе «Доходы бюджета» не отражены показатели, не содержа</w:t>
      </w:r>
      <w:r w:rsidR="00401B66">
        <w:t>щ</w:t>
      </w:r>
      <w:r>
        <w:t>ие плановые (прогнозные) назначения</w:t>
      </w:r>
      <w:r w:rsidR="00AE7941">
        <w:t>.</w:t>
      </w:r>
    </w:p>
    <w:p w:rsidR="00144958" w:rsidRPr="00782EA9" w:rsidRDefault="005E2B58" w:rsidP="00144958">
      <w:pPr>
        <w:ind w:firstLine="708"/>
        <w:jc w:val="both"/>
      </w:pPr>
      <w:r>
        <w:rPr>
          <w:b/>
        </w:rPr>
        <w:t>2</w:t>
      </w:r>
      <w:r w:rsidR="00144958" w:rsidRPr="00782EA9">
        <w:rPr>
          <w:b/>
        </w:rPr>
        <w:t>.</w:t>
      </w:r>
      <w:r w:rsidR="00144958" w:rsidRPr="00782EA9">
        <w:t xml:space="preserve"> Бюджетные назначения </w:t>
      </w:r>
      <w:r w:rsidR="0027520E">
        <w:t>Комитетом</w:t>
      </w:r>
      <w:r w:rsidR="0027520E" w:rsidRPr="00782EA9">
        <w:t xml:space="preserve"> </w:t>
      </w:r>
      <w:r w:rsidR="00144958" w:rsidRPr="00782EA9">
        <w:t xml:space="preserve">исполнены в сумме </w:t>
      </w:r>
      <w:r w:rsidR="0080540C">
        <w:t>353 104,6</w:t>
      </w:r>
      <w:r w:rsidR="00144958" w:rsidRPr="00782EA9">
        <w:t xml:space="preserve"> тыс. руб., или</w:t>
      </w:r>
      <w:r w:rsidR="00144958">
        <w:t xml:space="preserve"> на 9</w:t>
      </w:r>
      <w:r w:rsidR="00E122E7">
        <w:t>6</w:t>
      </w:r>
      <w:r w:rsidR="00144958">
        <w:t>,</w:t>
      </w:r>
      <w:r w:rsidR="00E122E7">
        <w:t>4</w:t>
      </w:r>
      <w:r w:rsidR="00144958">
        <w:t>%, н</w:t>
      </w:r>
      <w:r w:rsidR="00144958" w:rsidRPr="00782EA9">
        <w:t xml:space="preserve">еисполнение назначений составило </w:t>
      </w:r>
      <w:r w:rsidR="00E122E7">
        <w:t>13 364,8</w:t>
      </w:r>
      <w:r w:rsidR="00144958" w:rsidRPr="00782EA9">
        <w:rPr>
          <w:rFonts w:eastAsia="Times New Roman"/>
        </w:rPr>
        <w:t xml:space="preserve"> тыс. руб.,</w:t>
      </w:r>
      <w:r w:rsidR="00144958" w:rsidRPr="00782EA9">
        <w:t xml:space="preserve"> или </w:t>
      </w:r>
      <w:r w:rsidR="00E122E7">
        <w:t>3</w:t>
      </w:r>
      <w:r w:rsidR="00144958" w:rsidRPr="00782EA9">
        <w:t>,</w:t>
      </w:r>
      <w:r w:rsidR="00E122E7">
        <w:t>6</w:t>
      </w:r>
      <w:r w:rsidR="00144958" w:rsidRPr="00782EA9">
        <w:t>% от утв</w:t>
      </w:r>
      <w:r w:rsidR="00B22A51">
        <w:t>ержденного объема ассигнований, что обусловлено</w:t>
      </w:r>
      <w:r w:rsidR="00621D19">
        <w:t>,</w:t>
      </w:r>
      <w:r w:rsidR="00B22A51">
        <w:t xml:space="preserve"> </w:t>
      </w:r>
      <w:r w:rsidR="00621D19">
        <w:t xml:space="preserve">главным образом, </w:t>
      </w:r>
      <w:r w:rsidR="00B22A51">
        <w:t>текучестью кадрового состава.</w:t>
      </w:r>
    </w:p>
    <w:p w:rsidR="0029097D" w:rsidRDefault="005E2B58" w:rsidP="0029097D">
      <w:pPr>
        <w:autoSpaceDE w:val="0"/>
        <w:autoSpaceDN w:val="0"/>
        <w:adjustRightInd w:val="0"/>
        <w:ind w:firstLine="709"/>
        <w:jc w:val="both"/>
      </w:pPr>
      <w:r w:rsidRPr="0029097D">
        <w:rPr>
          <w:b/>
        </w:rPr>
        <w:t>3</w:t>
      </w:r>
      <w:r w:rsidR="00144958" w:rsidRPr="0029097D">
        <w:rPr>
          <w:b/>
        </w:rPr>
        <w:t>.</w:t>
      </w:r>
      <w:r w:rsidR="00144958" w:rsidRPr="0029097D">
        <w:t xml:space="preserve"> </w:t>
      </w:r>
      <w:r w:rsidR="0029097D" w:rsidRPr="0029097D">
        <w:t>Все показатели, доведенные Учреждению по гос.заданию, выполнены или</w:t>
      </w:r>
      <w:r w:rsidR="0029097D">
        <w:t xml:space="preserve"> перевыполнены </w:t>
      </w:r>
      <w:r w:rsidR="0029097D" w:rsidRPr="0029097D">
        <w:t>при его финансировании на 97,4%, недофинансирование составило 439,8 тыс. руб.</w:t>
      </w:r>
      <w:r w:rsidR="0029097D">
        <w:t>, что может свидетельствовать об отсутствии четкой увязки гос</w:t>
      </w:r>
      <w:r w:rsidR="00FB2AC7">
        <w:t xml:space="preserve">ударственного </w:t>
      </w:r>
      <w:r w:rsidR="0029097D">
        <w:t>задания в натуральных единицах с финансированием.</w:t>
      </w:r>
    </w:p>
    <w:p w:rsidR="005C011E" w:rsidRDefault="005E2B58" w:rsidP="005C011E">
      <w:pPr>
        <w:autoSpaceDE w:val="0"/>
        <w:autoSpaceDN w:val="0"/>
        <w:adjustRightInd w:val="0"/>
        <w:ind w:firstLine="720"/>
        <w:jc w:val="both"/>
      </w:pPr>
      <w:r>
        <w:rPr>
          <w:b/>
        </w:rPr>
        <w:t>4</w:t>
      </w:r>
      <w:r w:rsidR="005C011E" w:rsidRPr="005C011E">
        <w:rPr>
          <w:b/>
        </w:rPr>
        <w:t>.</w:t>
      </w:r>
      <w:r w:rsidR="005C011E">
        <w:t xml:space="preserve"> </w:t>
      </w:r>
      <w:r w:rsidR="00401B66">
        <w:t>При проведении мероприятий внутреннего финансового аудита отмечен формальн</w:t>
      </w:r>
      <w:r>
        <w:t>ый</w:t>
      </w:r>
      <w:r w:rsidR="00401B66">
        <w:t xml:space="preserve"> подход </w:t>
      </w:r>
      <w:r>
        <w:t xml:space="preserve">при проведении </w:t>
      </w:r>
      <w:r w:rsidR="00401B66">
        <w:t>мероприятий в части проверки достоверности и полноты бюджетной отчетности главным администратором бюджетных средств за 2014 год</w:t>
      </w:r>
      <w:r>
        <w:t xml:space="preserve"> в декабре 2015 года</w:t>
      </w:r>
      <w:r w:rsidR="00401B66">
        <w:t>.</w:t>
      </w:r>
    </w:p>
    <w:p w:rsidR="00AE7941" w:rsidRDefault="00AE7941" w:rsidP="00144958">
      <w:pPr>
        <w:autoSpaceDE w:val="0"/>
        <w:autoSpaceDN w:val="0"/>
        <w:adjustRightInd w:val="0"/>
        <w:ind w:firstLine="709"/>
        <w:jc w:val="both"/>
      </w:pPr>
    </w:p>
    <w:p w:rsidR="00144958" w:rsidRPr="005249B8" w:rsidRDefault="00144958" w:rsidP="00144958">
      <w:pPr>
        <w:ind w:firstLine="567"/>
        <w:rPr>
          <w:b/>
          <w:i/>
        </w:rPr>
      </w:pPr>
      <w:r w:rsidRPr="005249B8">
        <w:rPr>
          <w:b/>
          <w:i/>
        </w:rPr>
        <w:t>Предложения:</w:t>
      </w:r>
    </w:p>
    <w:p w:rsidR="00144958" w:rsidRDefault="00144958" w:rsidP="00144958">
      <w:pPr>
        <w:ind w:firstLine="709"/>
        <w:jc w:val="both"/>
        <w:rPr>
          <w:color w:val="0070C0"/>
        </w:rPr>
      </w:pPr>
    </w:p>
    <w:p w:rsidR="00862422" w:rsidRDefault="00144958" w:rsidP="00144958">
      <w:pPr>
        <w:ind w:firstLine="709"/>
        <w:jc w:val="both"/>
      </w:pPr>
      <w:r w:rsidRPr="008022C7">
        <w:rPr>
          <w:b/>
        </w:rPr>
        <w:t>1.</w:t>
      </w:r>
      <w:r>
        <w:t xml:space="preserve"> </w:t>
      </w:r>
      <w:r w:rsidR="00E122E7">
        <w:t>В целях заполнения бюджетной отчетности в соответствии с требованиями Инструкции 191н</w:t>
      </w:r>
      <w:r w:rsidR="00862422">
        <w:t>:</w:t>
      </w:r>
    </w:p>
    <w:p w:rsidR="00E122E7" w:rsidRDefault="00862422" w:rsidP="00144958">
      <w:pPr>
        <w:ind w:firstLine="709"/>
        <w:jc w:val="both"/>
      </w:pPr>
      <w:r>
        <w:t>-</w:t>
      </w:r>
      <w:r w:rsidR="00E122E7">
        <w:t xml:space="preserve">совместно с разработчиками программы «БАРС» обеспечить формирование </w:t>
      </w:r>
      <w:r w:rsidR="00E122E7" w:rsidRPr="009F7B16">
        <w:t>«Сведени</w:t>
      </w:r>
      <w:r w:rsidR="00E122E7">
        <w:t>й</w:t>
      </w:r>
      <w:r w:rsidR="00E122E7" w:rsidRPr="009F7B16">
        <w:t xml:space="preserve"> об исполнении бюджета» (ф.0503164)</w:t>
      </w:r>
      <w:r w:rsidR="00E122E7">
        <w:t xml:space="preserve">, учитывая положения п. 163 </w:t>
      </w:r>
      <w:r>
        <w:t>указанной инструкции;</w:t>
      </w:r>
    </w:p>
    <w:p w:rsidR="00862422" w:rsidRDefault="00862422" w:rsidP="00144958">
      <w:pPr>
        <w:ind w:firstLine="709"/>
        <w:jc w:val="both"/>
      </w:pPr>
      <w:r>
        <w:t>-обеспечить ведение аналитического учета поступления и выбытия денежных средств на забалансовых счетах 17 и 18 в соответствии с пунктами 365-368 Инструкции 157н.</w:t>
      </w:r>
    </w:p>
    <w:p w:rsidR="00144958" w:rsidRDefault="00144958" w:rsidP="00144958">
      <w:pPr>
        <w:ind w:firstLine="709"/>
        <w:jc w:val="both"/>
      </w:pPr>
      <w:r w:rsidRPr="008022C7">
        <w:rPr>
          <w:b/>
        </w:rPr>
        <w:t>2.</w:t>
      </w:r>
      <w:r>
        <w:t xml:space="preserve"> Указать главн</w:t>
      </w:r>
      <w:r w:rsidR="00862422">
        <w:t>ым</w:t>
      </w:r>
      <w:r>
        <w:t xml:space="preserve"> бухгалтер</w:t>
      </w:r>
      <w:r w:rsidR="00862422">
        <w:t>ам</w:t>
      </w:r>
      <w:r>
        <w:t xml:space="preserve"> </w:t>
      </w:r>
      <w:r w:rsidR="00862422">
        <w:t xml:space="preserve">Комитета и Учреждения </w:t>
      </w:r>
      <w:r>
        <w:t>на недопущение случаев искажения бухгалтерской отчетности.</w:t>
      </w:r>
    </w:p>
    <w:p w:rsidR="00583E70" w:rsidRDefault="0029097D" w:rsidP="00576738">
      <w:pPr>
        <w:ind w:firstLine="709"/>
        <w:jc w:val="both"/>
      </w:pPr>
      <w:r w:rsidRPr="00576738">
        <w:rPr>
          <w:b/>
        </w:rPr>
        <w:t>3.</w:t>
      </w:r>
      <w:r w:rsidRPr="00576738">
        <w:t xml:space="preserve"> </w:t>
      </w:r>
      <w:r w:rsidR="000911C2">
        <w:t>Во исполнение</w:t>
      </w:r>
      <w:r w:rsidR="00A21133" w:rsidRPr="00576738">
        <w:t xml:space="preserve"> </w:t>
      </w:r>
      <w:r w:rsidR="000446CB">
        <w:t xml:space="preserve">требований </w:t>
      </w:r>
      <w:r w:rsidR="00A21133" w:rsidRPr="00576738">
        <w:t>абзаца второго пункта 4 статьи 69.2 Б</w:t>
      </w:r>
      <w:r w:rsidR="00576738">
        <w:t>К</w:t>
      </w:r>
      <w:r w:rsidR="00A21133" w:rsidRPr="00576738">
        <w:t xml:space="preserve"> РФ </w:t>
      </w:r>
      <w:r w:rsidR="00583E70">
        <w:t xml:space="preserve">определить нормативные затраты </w:t>
      </w:r>
      <w:r w:rsidR="00583E70" w:rsidRPr="00576738">
        <w:t>на оказание государственных услуг по оказанию бесплатной юридической помощи</w:t>
      </w:r>
      <w:r w:rsidR="00583E70">
        <w:t xml:space="preserve"> для расчета </w:t>
      </w:r>
      <w:r w:rsidR="00583E70" w:rsidRPr="00576738">
        <w:t>финансово</w:t>
      </w:r>
      <w:r w:rsidR="00583E70">
        <w:t>го</w:t>
      </w:r>
      <w:r w:rsidR="00583E70" w:rsidRPr="00576738">
        <w:t xml:space="preserve"> обеспечени</w:t>
      </w:r>
      <w:r w:rsidR="00583E70">
        <w:t>я</w:t>
      </w:r>
      <w:r w:rsidR="00583E70" w:rsidRPr="00576738">
        <w:t xml:space="preserve"> выполнения государственного задания</w:t>
      </w:r>
      <w:r w:rsidR="00583E70">
        <w:t>.</w:t>
      </w:r>
    </w:p>
    <w:p w:rsidR="005C011E" w:rsidRPr="005C011E" w:rsidRDefault="0029097D" w:rsidP="00144958">
      <w:pPr>
        <w:ind w:firstLine="709"/>
        <w:jc w:val="both"/>
        <w:rPr>
          <w:b/>
        </w:rPr>
      </w:pPr>
      <w:r>
        <w:rPr>
          <w:b/>
        </w:rPr>
        <w:t>4</w:t>
      </w:r>
      <w:r w:rsidR="005C011E" w:rsidRPr="005C011E">
        <w:rPr>
          <w:b/>
        </w:rPr>
        <w:t xml:space="preserve">. </w:t>
      </w:r>
      <w:r w:rsidR="00401B66" w:rsidRPr="00401B66">
        <w:t>Исключить формальный подход к формированию плана мероприятий</w:t>
      </w:r>
      <w:r w:rsidR="00401B66">
        <w:t xml:space="preserve"> по проведению финансового аудита и обеспечить его проведение в строгом соответствии с </w:t>
      </w:r>
      <w:r w:rsidR="00401B66">
        <w:lastRenderedPageBreak/>
        <w:t>требованиями п. 4 ст. 160.2-1 БК РФ, уделив особое внимание подготовке предложений и повышению экономности и результативности испол</w:t>
      </w:r>
      <w:r w:rsidR="00EE1926">
        <w:t>ьзования</w:t>
      </w:r>
      <w:r w:rsidR="00401B66">
        <w:t xml:space="preserve"> бюджетных средств.</w:t>
      </w:r>
    </w:p>
    <w:p w:rsidR="00576738" w:rsidRDefault="00576738" w:rsidP="00576738"/>
    <w:p w:rsidR="00A21133" w:rsidRPr="00A21133" w:rsidRDefault="00A21133" w:rsidP="00A21133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144958" w:rsidRPr="00932FD2" w:rsidRDefault="00144958" w:rsidP="00144958">
      <w:pPr>
        <w:jc w:val="both"/>
      </w:pPr>
    </w:p>
    <w:p w:rsidR="00144958" w:rsidRPr="00782EA9" w:rsidRDefault="00144958" w:rsidP="001449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i/>
          <w:lang w:eastAsia="en-US"/>
        </w:rPr>
      </w:pPr>
      <w:r w:rsidRPr="00782EA9">
        <w:rPr>
          <w:rFonts w:eastAsiaTheme="minorHAnsi"/>
          <w:b/>
          <w:i/>
          <w:lang w:eastAsia="en-US"/>
        </w:rPr>
        <w:t>Аудитор                                                                                                 Н.Л. Ноздрюхина</w:t>
      </w:r>
    </w:p>
    <w:p w:rsidR="008352FE" w:rsidRDefault="008352FE"/>
    <w:sectPr w:rsidR="008352FE" w:rsidSect="0078287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00" w:rsidRDefault="00991500" w:rsidP="00CA6FAD">
      <w:r>
        <w:separator/>
      </w:r>
    </w:p>
  </w:endnote>
  <w:endnote w:type="continuationSeparator" w:id="1">
    <w:p w:rsidR="00991500" w:rsidRDefault="00991500" w:rsidP="00CA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00" w:rsidRDefault="00991500" w:rsidP="00CA6FAD">
      <w:r>
        <w:separator/>
      </w:r>
    </w:p>
  </w:footnote>
  <w:footnote w:type="continuationSeparator" w:id="1">
    <w:p w:rsidR="00991500" w:rsidRDefault="00991500" w:rsidP="00CA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1145"/>
      <w:docPartObj>
        <w:docPartGallery w:val="Page Numbers (Top of Page)"/>
        <w:docPartUnique/>
      </w:docPartObj>
    </w:sdtPr>
    <w:sdtContent>
      <w:p w:rsidR="00A21133" w:rsidRDefault="00A21133">
        <w:pPr>
          <w:pStyle w:val="a6"/>
          <w:jc w:val="center"/>
        </w:pPr>
        <w:fldSimple w:instr=" PAGE   \* MERGEFORMAT ">
          <w:r w:rsidR="005A6542">
            <w:rPr>
              <w:noProof/>
            </w:rPr>
            <w:t>2</w:t>
          </w:r>
        </w:fldSimple>
      </w:p>
    </w:sdtContent>
  </w:sdt>
  <w:p w:rsidR="00A21133" w:rsidRDefault="00A211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BAD"/>
    <w:multiLevelType w:val="hybridMultilevel"/>
    <w:tmpl w:val="28361C0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D9305E"/>
    <w:multiLevelType w:val="hybridMultilevel"/>
    <w:tmpl w:val="08643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3772E4"/>
    <w:multiLevelType w:val="hybridMultilevel"/>
    <w:tmpl w:val="1C88D878"/>
    <w:lvl w:ilvl="0" w:tplc="9E6292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246695"/>
    <w:multiLevelType w:val="hybridMultilevel"/>
    <w:tmpl w:val="02E6AE54"/>
    <w:lvl w:ilvl="0" w:tplc="AD3C7D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22E3B5C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563BE0"/>
    <w:multiLevelType w:val="hybridMultilevel"/>
    <w:tmpl w:val="B8009196"/>
    <w:lvl w:ilvl="0" w:tplc="3804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460FB5"/>
    <w:multiLevelType w:val="hybridMultilevel"/>
    <w:tmpl w:val="964209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A939A1"/>
    <w:multiLevelType w:val="hybridMultilevel"/>
    <w:tmpl w:val="CA3861B0"/>
    <w:lvl w:ilvl="0" w:tplc="FC469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E17395"/>
    <w:multiLevelType w:val="hybridMultilevel"/>
    <w:tmpl w:val="E494894C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5B05288B"/>
    <w:multiLevelType w:val="hybridMultilevel"/>
    <w:tmpl w:val="31F2780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650414FD"/>
    <w:multiLevelType w:val="hybridMultilevel"/>
    <w:tmpl w:val="D832AF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6C0326"/>
    <w:multiLevelType w:val="hybridMultilevel"/>
    <w:tmpl w:val="E91C8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725507"/>
    <w:multiLevelType w:val="hybridMultilevel"/>
    <w:tmpl w:val="D8E0A846"/>
    <w:lvl w:ilvl="0" w:tplc="BD367794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1E7172"/>
    <w:multiLevelType w:val="hybridMultilevel"/>
    <w:tmpl w:val="001EC1FC"/>
    <w:lvl w:ilvl="0" w:tplc="970AD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14"/>
  </w:num>
  <w:num w:numId="8">
    <w:abstractNumId w:val="5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958"/>
    <w:rsid w:val="00043EDF"/>
    <w:rsid w:val="000446CB"/>
    <w:rsid w:val="000631E6"/>
    <w:rsid w:val="000911C2"/>
    <w:rsid w:val="000B6333"/>
    <w:rsid w:val="000C3E09"/>
    <w:rsid w:val="001111F0"/>
    <w:rsid w:val="001139FF"/>
    <w:rsid w:val="00144958"/>
    <w:rsid w:val="00193104"/>
    <w:rsid w:val="001C7962"/>
    <w:rsid w:val="00205705"/>
    <w:rsid w:val="00222ED8"/>
    <w:rsid w:val="00225DBB"/>
    <w:rsid w:val="00235BF4"/>
    <w:rsid w:val="00256B1D"/>
    <w:rsid w:val="00271922"/>
    <w:rsid w:val="0027520E"/>
    <w:rsid w:val="0029097D"/>
    <w:rsid w:val="002B14F3"/>
    <w:rsid w:val="003027EA"/>
    <w:rsid w:val="003100C8"/>
    <w:rsid w:val="00375D45"/>
    <w:rsid w:val="00387F85"/>
    <w:rsid w:val="003A039C"/>
    <w:rsid w:val="003A6CAE"/>
    <w:rsid w:val="00401B66"/>
    <w:rsid w:val="00441D23"/>
    <w:rsid w:val="004557D4"/>
    <w:rsid w:val="004634B0"/>
    <w:rsid w:val="004800AA"/>
    <w:rsid w:val="004C4EF8"/>
    <w:rsid w:val="004E2523"/>
    <w:rsid w:val="00537B41"/>
    <w:rsid w:val="00543E06"/>
    <w:rsid w:val="00564B89"/>
    <w:rsid w:val="00576738"/>
    <w:rsid w:val="00583E70"/>
    <w:rsid w:val="005A6542"/>
    <w:rsid w:val="005B3B0E"/>
    <w:rsid w:val="005C011E"/>
    <w:rsid w:val="005D26F0"/>
    <w:rsid w:val="005E2B58"/>
    <w:rsid w:val="005F3FB6"/>
    <w:rsid w:val="00620467"/>
    <w:rsid w:val="00621D19"/>
    <w:rsid w:val="00636D9E"/>
    <w:rsid w:val="006630B0"/>
    <w:rsid w:val="00686C81"/>
    <w:rsid w:val="00694DE3"/>
    <w:rsid w:val="00702797"/>
    <w:rsid w:val="00707BA0"/>
    <w:rsid w:val="007130D1"/>
    <w:rsid w:val="007608B2"/>
    <w:rsid w:val="0078287B"/>
    <w:rsid w:val="007F4DD4"/>
    <w:rsid w:val="00801F02"/>
    <w:rsid w:val="00803561"/>
    <w:rsid w:val="0080540C"/>
    <w:rsid w:val="008352FE"/>
    <w:rsid w:val="00862422"/>
    <w:rsid w:val="008902D2"/>
    <w:rsid w:val="008941D3"/>
    <w:rsid w:val="008C1D97"/>
    <w:rsid w:val="009136F0"/>
    <w:rsid w:val="009213C6"/>
    <w:rsid w:val="00937731"/>
    <w:rsid w:val="00950DB2"/>
    <w:rsid w:val="00991500"/>
    <w:rsid w:val="009D5041"/>
    <w:rsid w:val="009F261C"/>
    <w:rsid w:val="00A125D5"/>
    <w:rsid w:val="00A12E9D"/>
    <w:rsid w:val="00A21133"/>
    <w:rsid w:val="00A43941"/>
    <w:rsid w:val="00A52B5F"/>
    <w:rsid w:val="00AB0537"/>
    <w:rsid w:val="00AB78C8"/>
    <w:rsid w:val="00AC2022"/>
    <w:rsid w:val="00AD6FD4"/>
    <w:rsid w:val="00AE7941"/>
    <w:rsid w:val="00B22A51"/>
    <w:rsid w:val="00B5198A"/>
    <w:rsid w:val="00B83760"/>
    <w:rsid w:val="00BE34C6"/>
    <w:rsid w:val="00BF129F"/>
    <w:rsid w:val="00BF460A"/>
    <w:rsid w:val="00C56157"/>
    <w:rsid w:val="00C94BA1"/>
    <w:rsid w:val="00CA6FAD"/>
    <w:rsid w:val="00D71789"/>
    <w:rsid w:val="00D92E5C"/>
    <w:rsid w:val="00DA0386"/>
    <w:rsid w:val="00DB0888"/>
    <w:rsid w:val="00DC0B97"/>
    <w:rsid w:val="00DC205A"/>
    <w:rsid w:val="00E06749"/>
    <w:rsid w:val="00E122E7"/>
    <w:rsid w:val="00EE1926"/>
    <w:rsid w:val="00F402CC"/>
    <w:rsid w:val="00F55C14"/>
    <w:rsid w:val="00F57C46"/>
    <w:rsid w:val="00FA4F89"/>
    <w:rsid w:val="00FB2AC7"/>
    <w:rsid w:val="00FB7652"/>
    <w:rsid w:val="00FF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95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95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4958"/>
    <w:pPr>
      <w:ind w:left="720"/>
      <w:contextualSpacing/>
    </w:pPr>
  </w:style>
  <w:style w:type="paragraph" w:styleId="2">
    <w:name w:val="Body Text 2"/>
    <w:basedOn w:val="a"/>
    <w:link w:val="20"/>
    <w:rsid w:val="00144958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144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1449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14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49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9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9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95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0C3E0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ab">
    <w:name w:val="Цветовое выделение"/>
    <w:uiPriority w:val="99"/>
    <w:rsid w:val="00222ED8"/>
    <w:rPr>
      <w:b/>
      <w:bCs/>
      <w:color w:val="26282F"/>
    </w:rPr>
  </w:style>
  <w:style w:type="character" w:customStyle="1" w:styleId="apple-converted-space">
    <w:name w:val="apple-converted-space"/>
    <w:basedOn w:val="a0"/>
    <w:rsid w:val="00DC0B97"/>
  </w:style>
  <w:style w:type="character" w:styleId="ac">
    <w:name w:val="Hyperlink"/>
    <w:basedOn w:val="a0"/>
    <w:uiPriority w:val="99"/>
    <w:semiHidden/>
    <w:unhideWhenUsed/>
    <w:rsid w:val="00DC0B97"/>
    <w:rPr>
      <w:color w:val="0000FF"/>
      <w:u w:val="single"/>
    </w:rPr>
  </w:style>
  <w:style w:type="character" w:customStyle="1" w:styleId="ad">
    <w:name w:val="Гипертекстовая ссылка"/>
    <w:basedOn w:val="ab"/>
    <w:uiPriority w:val="99"/>
    <w:rsid w:val="001C796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Горина_2</dc:creator>
  <cp:lastModifiedBy>Горина_2</cp:lastModifiedBy>
  <cp:revision>25</cp:revision>
  <cp:lastPrinted>2016-04-05T07:08:00Z</cp:lastPrinted>
  <dcterms:created xsi:type="dcterms:W3CDTF">2016-03-25T07:55:00Z</dcterms:created>
  <dcterms:modified xsi:type="dcterms:W3CDTF">2016-04-05T07:29:00Z</dcterms:modified>
</cp:coreProperties>
</file>